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05" w:rsidRDefault="00F517B1">
      <w:pPr>
        <w:spacing w:after="3533" w:line="259" w:lineRule="auto"/>
        <w:ind w:left="2870" w:firstLine="0"/>
        <w:jc w:val="left"/>
      </w:pPr>
      <w:bookmarkStart w:id="0" w:name="_GoBack"/>
      <w:bookmarkEnd w:id="0"/>
      <w:r>
        <w:rPr>
          <w:noProof/>
        </w:rPr>
        <w:drawing>
          <wp:inline distT="0" distB="0" distL="0" distR="0">
            <wp:extent cx="2115312" cy="21153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115312" cy="2115312"/>
                    </a:xfrm>
                    <a:prstGeom prst="rect">
                      <a:avLst/>
                    </a:prstGeom>
                  </pic:spPr>
                </pic:pic>
              </a:graphicData>
            </a:graphic>
          </wp:inline>
        </w:drawing>
      </w:r>
    </w:p>
    <w:p w:rsidR="00C81D05" w:rsidRDefault="00F517B1">
      <w:pPr>
        <w:spacing w:after="0" w:line="239" w:lineRule="auto"/>
        <w:ind w:left="0" w:firstLine="0"/>
        <w:jc w:val="center"/>
      </w:pPr>
      <w:r>
        <w:rPr>
          <w:color w:val="17365D"/>
          <w:sz w:val="36"/>
        </w:rPr>
        <w:t>JYVÄSKYLÄN SEURAKUNNAN KIINTEISTÖSTRATEGIA VUOSILLE 2010 - 2020</w:t>
      </w:r>
    </w:p>
    <w:p w:rsidR="00C81D05" w:rsidRDefault="00F517B1">
      <w:pPr>
        <w:spacing w:after="676" w:line="259" w:lineRule="auto"/>
        <w:ind w:left="221" w:right="-29" w:firstLine="0"/>
        <w:jc w:val="left"/>
      </w:pPr>
      <w:r>
        <w:rPr>
          <w:rFonts w:ascii="Calibri" w:eastAsia="Calibri" w:hAnsi="Calibri" w:cs="Calibri"/>
          <w:noProof/>
        </w:rPr>
        <mc:AlternateContent>
          <mc:Choice Requires="wpg">
            <w:drawing>
              <wp:inline distT="0" distB="0" distL="0" distR="0">
                <wp:extent cx="5663172" cy="12192"/>
                <wp:effectExtent l="0" t="0" r="0" b="0"/>
                <wp:docPr id="14569" name="Group 14569"/>
                <wp:cNvGraphicFramePr/>
                <a:graphic xmlns:a="http://schemas.openxmlformats.org/drawingml/2006/main">
                  <a:graphicData uri="http://schemas.microsoft.com/office/word/2010/wordprocessingGroup">
                    <wpg:wgp>
                      <wpg:cNvGrpSpPr/>
                      <wpg:grpSpPr>
                        <a:xfrm>
                          <a:off x="0" y="0"/>
                          <a:ext cx="5663172" cy="12192"/>
                          <a:chOff x="0" y="0"/>
                          <a:chExt cx="5663172" cy="12192"/>
                        </a:xfrm>
                      </wpg:grpSpPr>
                      <wps:wsp>
                        <wps:cNvPr id="22575" name="Shape 22575"/>
                        <wps:cNvSpPr/>
                        <wps:spPr>
                          <a:xfrm>
                            <a:off x="0" y="0"/>
                            <a:ext cx="5663172" cy="12192"/>
                          </a:xfrm>
                          <a:custGeom>
                            <a:avLst/>
                            <a:gdLst/>
                            <a:ahLst/>
                            <a:cxnLst/>
                            <a:rect l="0" t="0" r="0" b="0"/>
                            <a:pathLst>
                              <a:path w="5663172" h="12192">
                                <a:moveTo>
                                  <a:pt x="0" y="0"/>
                                </a:moveTo>
                                <a:lnTo>
                                  <a:pt x="5663172" y="0"/>
                                </a:lnTo>
                                <a:lnTo>
                                  <a:pt x="566317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E4A8D01" id="Group 14569" o:spid="_x0000_s1026" style="width:445.9pt;height:.95pt;mso-position-horizontal-relative:char;mso-position-vertical-relative:line" coordsize="566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">
                <v:shape id="Shape 22575" o:spid="_x0000_s1027" style="position:absolute;width:56631;height:121;visibility:visible;mso-wrap-style:square;v-text-anchor:top" coordsize="56631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PcMYA&#10;AADeAAAADwAAAGRycy9kb3ducmV2LnhtbESPT4vCMBTE74LfITzBi2hqwbVUo6gg9Lj+Wfb6aN42&#10;ZZuX0kTt7qffCMIeh5n5DbPe9rYRd+p87VjBfJaAIC6drrlScL0cpxkIH5A1No5JwQ952G6GgzXm&#10;2j34RPdzqESEsM9RgQmhzaX0pSGLfuZa4uh9uc5iiLKrpO7wEeG2kWmSvEmLNccFgy0dDJXf55tV&#10;8F7/7rLMuI++chO+FcXp8HndKzUe9bsViEB9+A+/2oVWkKaL5QKed+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TPcMYAAADeAAAADwAAAAAAAAAAAAAAAACYAgAAZHJz&#10;L2Rvd25yZXYueG1sUEsFBgAAAAAEAAQA9QAAAIsDAAAAAA==&#10;" path="m,l5663172,r,12192l,12192,,e" fillcolor="#4f81bd" stroked="f" strokeweight="0">
                  <v:stroke miterlimit="83231f" joinstyle="miter"/>
                  <v:path arrowok="t" textboxrect="0,0,5663172,12192"/>
                </v:shape>
                <w10:anchorlock/>
              </v:group>
            </w:pict>
          </mc:Fallback>
        </mc:AlternateContent>
      </w:r>
    </w:p>
    <w:p w:rsidR="00C81D05" w:rsidRDefault="00F517B1">
      <w:pPr>
        <w:tabs>
          <w:tab w:val="center" w:pos="5127"/>
        </w:tabs>
        <w:spacing w:after="0" w:line="259" w:lineRule="auto"/>
        <w:ind w:left="0" w:firstLine="0"/>
        <w:jc w:val="left"/>
      </w:pPr>
      <w:r>
        <w:rPr>
          <w:sz w:val="24"/>
        </w:rPr>
        <w:t>Päivämäärä:</w:t>
      </w:r>
      <w:r>
        <w:rPr>
          <w:sz w:val="24"/>
        </w:rPr>
        <w:tab/>
        <w:t>Jyväskylän seurakunnan kirkkoneuvosto 17.2.2010</w:t>
      </w:r>
    </w:p>
    <w:p w:rsidR="00C81D05" w:rsidRDefault="00F517B1">
      <w:pPr>
        <w:spacing w:line="259" w:lineRule="auto"/>
        <w:ind w:right="25"/>
      </w:pPr>
      <w:r>
        <w:rPr>
          <w:noProof/>
        </w:rPr>
        <w:drawing>
          <wp:anchor distT="0" distB="0" distL="114300" distR="114300" simplePos="0" relativeHeight="25165824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2639568" cy="100571"/>
                    </a:xfrm>
                    <a:prstGeom prst="rect">
                      <a:avLst/>
                    </a:prstGeom>
                  </pic:spPr>
                </pic:pic>
              </a:graphicData>
            </a:graphic>
          </wp:anchor>
        </w:drawing>
      </w:r>
    </w:p>
    <w:sdt>
      <w:sdtPr>
        <w:id w:val="-94719945"/>
        <w:docPartObj>
          <w:docPartGallery w:val="Table of Contents"/>
        </w:docPartObj>
      </w:sdtPr>
      <w:sdtEndPr/>
      <w:sdtContent>
        <w:p w:rsidR="00C81D05" w:rsidRDefault="00F517B1">
          <w:pPr>
            <w:pStyle w:val="Sisluet1"/>
            <w:tabs>
              <w:tab w:val="right" w:leader="dot" w:pos="9110"/>
            </w:tabs>
            <w:rPr>
              <w:noProof/>
            </w:rPr>
          </w:pPr>
          <w:r>
            <w:fldChar w:fldCharType="begin"/>
          </w:r>
          <w:r>
            <w:instrText xml:space="preserve"> TOC \o "1-2" \h \z \u </w:instrText>
          </w:r>
          <w:r>
            <w:fldChar w:fldCharType="separate"/>
          </w:r>
          <w:hyperlink w:anchor="_Toc22328">
            <w:r>
              <w:rPr>
                <w:noProof/>
              </w:rPr>
              <w:t>1. Kiinteistöstrategian laatijat ja aikataulu</w:t>
            </w:r>
            <w:r>
              <w:rPr>
                <w:noProof/>
              </w:rPr>
              <w:tab/>
            </w:r>
            <w:r>
              <w:rPr>
                <w:noProof/>
              </w:rPr>
              <w:fldChar w:fldCharType="begin"/>
            </w:r>
            <w:r>
              <w:rPr>
                <w:noProof/>
              </w:rPr>
              <w:instrText>PAGEREF _Toc22328 \h</w:instrText>
            </w:r>
            <w:r>
              <w:rPr>
                <w:noProof/>
              </w:rPr>
            </w:r>
            <w:r>
              <w:rPr>
                <w:noProof/>
              </w:rPr>
              <w:fldChar w:fldCharType="separate"/>
            </w:r>
            <w:r>
              <w:rPr>
                <w:noProof/>
              </w:rPr>
              <w:t>3</w:t>
            </w:r>
            <w:r>
              <w:rPr>
                <w:noProof/>
              </w:rPr>
              <w:fldChar w:fldCharType="end"/>
            </w:r>
          </w:hyperlink>
        </w:p>
        <w:p w:rsidR="00C81D05" w:rsidRDefault="00F517B1">
          <w:pPr>
            <w:pStyle w:val="Sisluet1"/>
            <w:tabs>
              <w:tab w:val="right" w:leader="dot" w:pos="9110"/>
            </w:tabs>
            <w:rPr>
              <w:noProof/>
            </w:rPr>
          </w:pPr>
          <w:hyperlink w:anchor="_Toc22329">
            <w:r>
              <w:rPr>
                <w:noProof/>
              </w:rPr>
              <w:t>2. Yhteystiedot</w:t>
            </w:r>
            <w:r>
              <w:rPr>
                <w:noProof/>
              </w:rPr>
              <w:tab/>
            </w:r>
            <w:r>
              <w:rPr>
                <w:noProof/>
              </w:rPr>
              <w:fldChar w:fldCharType="begin"/>
            </w:r>
            <w:r>
              <w:rPr>
                <w:noProof/>
              </w:rPr>
              <w:instrText>PAGEREF _Toc22329 \h</w:instrText>
            </w:r>
            <w:r>
              <w:rPr>
                <w:noProof/>
              </w:rPr>
            </w:r>
            <w:r>
              <w:rPr>
                <w:noProof/>
              </w:rPr>
              <w:fldChar w:fldCharType="separate"/>
            </w:r>
            <w:r>
              <w:rPr>
                <w:noProof/>
              </w:rPr>
              <w:t>4</w:t>
            </w:r>
            <w:r>
              <w:rPr>
                <w:noProof/>
              </w:rPr>
              <w:fldChar w:fldCharType="end"/>
            </w:r>
          </w:hyperlink>
        </w:p>
        <w:p w:rsidR="00C81D05" w:rsidRDefault="00F517B1">
          <w:pPr>
            <w:pStyle w:val="Sisluet1"/>
            <w:tabs>
              <w:tab w:val="right" w:leader="dot" w:pos="9110"/>
            </w:tabs>
            <w:rPr>
              <w:noProof/>
            </w:rPr>
          </w:pPr>
          <w:hyperlink w:anchor="_Toc22330">
            <w:r>
              <w:rPr>
                <w:noProof/>
              </w:rPr>
              <w:t>3. Kiinteistöstrategian taust</w:t>
            </w:r>
            <w:r>
              <w:rPr>
                <w:noProof/>
              </w:rPr>
              <w:t>alla olevat toiminnalliset ja strategiset linjaukset</w:t>
            </w:r>
            <w:r>
              <w:rPr>
                <w:noProof/>
              </w:rPr>
              <w:tab/>
            </w:r>
            <w:r>
              <w:rPr>
                <w:noProof/>
              </w:rPr>
              <w:fldChar w:fldCharType="begin"/>
            </w:r>
            <w:r>
              <w:rPr>
                <w:noProof/>
              </w:rPr>
              <w:instrText>PAGEREF _Toc22330 \h</w:instrText>
            </w:r>
            <w:r>
              <w:rPr>
                <w:noProof/>
              </w:rPr>
            </w:r>
            <w:r>
              <w:rPr>
                <w:noProof/>
              </w:rPr>
              <w:fldChar w:fldCharType="separate"/>
            </w:r>
            <w:r>
              <w:rPr>
                <w:noProof/>
              </w:rPr>
              <w:t>4</w:t>
            </w:r>
            <w:r>
              <w:rPr>
                <w:noProof/>
              </w:rPr>
              <w:fldChar w:fldCharType="end"/>
            </w:r>
          </w:hyperlink>
        </w:p>
        <w:p w:rsidR="00C81D05" w:rsidRDefault="00F517B1">
          <w:pPr>
            <w:pStyle w:val="Sisluet1"/>
            <w:tabs>
              <w:tab w:val="right" w:leader="dot" w:pos="9110"/>
            </w:tabs>
            <w:rPr>
              <w:noProof/>
            </w:rPr>
          </w:pPr>
          <w:hyperlink w:anchor="_Toc22331">
            <w:r>
              <w:rPr>
                <w:noProof/>
              </w:rPr>
              <w:t>4. Kiinteistöstrategian tarpeellisuus ja sen tavoitteet</w:t>
            </w:r>
            <w:r>
              <w:rPr>
                <w:noProof/>
              </w:rPr>
              <w:tab/>
            </w:r>
            <w:r>
              <w:rPr>
                <w:noProof/>
              </w:rPr>
              <w:fldChar w:fldCharType="begin"/>
            </w:r>
            <w:r>
              <w:rPr>
                <w:noProof/>
              </w:rPr>
              <w:instrText>PAGEREF _Toc22331 \h</w:instrText>
            </w:r>
            <w:r>
              <w:rPr>
                <w:noProof/>
              </w:rPr>
            </w:r>
            <w:r>
              <w:rPr>
                <w:noProof/>
              </w:rPr>
              <w:fldChar w:fldCharType="separate"/>
            </w:r>
            <w:r>
              <w:rPr>
                <w:noProof/>
              </w:rPr>
              <w:t>6</w:t>
            </w:r>
            <w:r>
              <w:rPr>
                <w:noProof/>
              </w:rPr>
              <w:fldChar w:fldCharType="end"/>
            </w:r>
          </w:hyperlink>
        </w:p>
        <w:p w:rsidR="00C81D05" w:rsidRDefault="00F517B1">
          <w:pPr>
            <w:pStyle w:val="Sisluet2"/>
            <w:tabs>
              <w:tab w:val="right" w:leader="dot" w:pos="9110"/>
            </w:tabs>
            <w:rPr>
              <w:noProof/>
            </w:rPr>
          </w:pPr>
          <w:hyperlink w:anchor="_Toc22332">
            <w:r>
              <w:rPr>
                <w:noProof/>
              </w:rPr>
              <w:t>4.1. Kiinteistöstrategian tarpeellisuus</w:t>
            </w:r>
            <w:r>
              <w:rPr>
                <w:noProof/>
              </w:rPr>
              <w:tab/>
            </w:r>
            <w:r>
              <w:rPr>
                <w:noProof/>
              </w:rPr>
              <w:fldChar w:fldCharType="begin"/>
            </w:r>
            <w:r>
              <w:rPr>
                <w:noProof/>
              </w:rPr>
              <w:instrText>PAGEREF _Toc22332 \h</w:instrText>
            </w:r>
            <w:r>
              <w:rPr>
                <w:noProof/>
              </w:rPr>
            </w:r>
            <w:r>
              <w:rPr>
                <w:noProof/>
              </w:rPr>
              <w:fldChar w:fldCharType="separate"/>
            </w:r>
            <w:r>
              <w:rPr>
                <w:noProof/>
              </w:rPr>
              <w:t>6</w:t>
            </w:r>
            <w:r>
              <w:rPr>
                <w:noProof/>
              </w:rPr>
              <w:fldChar w:fldCharType="end"/>
            </w:r>
          </w:hyperlink>
        </w:p>
        <w:p w:rsidR="00C81D05" w:rsidRDefault="00F517B1">
          <w:pPr>
            <w:pStyle w:val="Sisluet2"/>
            <w:tabs>
              <w:tab w:val="right" w:leader="dot" w:pos="9110"/>
            </w:tabs>
            <w:rPr>
              <w:noProof/>
            </w:rPr>
          </w:pPr>
          <w:hyperlink w:anchor="_Toc22333">
            <w:r>
              <w:rPr>
                <w:noProof/>
              </w:rPr>
              <w:t>4.2. Kiin</w:t>
            </w:r>
            <w:r>
              <w:rPr>
                <w:noProof/>
              </w:rPr>
              <w:t>teistöstrategian tavoitteet</w:t>
            </w:r>
            <w:r>
              <w:rPr>
                <w:noProof/>
              </w:rPr>
              <w:tab/>
            </w:r>
            <w:r>
              <w:rPr>
                <w:noProof/>
              </w:rPr>
              <w:fldChar w:fldCharType="begin"/>
            </w:r>
            <w:r>
              <w:rPr>
                <w:noProof/>
              </w:rPr>
              <w:instrText>PAGEREF _Toc22333 \h</w:instrText>
            </w:r>
            <w:r>
              <w:rPr>
                <w:noProof/>
              </w:rPr>
            </w:r>
            <w:r>
              <w:rPr>
                <w:noProof/>
              </w:rPr>
              <w:fldChar w:fldCharType="separate"/>
            </w:r>
            <w:r>
              <w:rPr>
                <w:noProof/>
              </w:rPr>
              <w:t>8</w:t>
            </w:r>
            <w:r>
              <w:rPr>
                <w:noProof/>
              </w:rPr>
              <w:fldChar w:fldCharType="end"/>
            </w:r>
          </w:hyperlink>
        </w:p>
        <w:p w:rsidR="00C81D05" w:rsidRDefault="00F517B1">
          <w:pPr>
            <w:pStyle w:val="Sisluet1"/>
            <w:tabs>
              <w:tab w:val="right" w:leader="dot" w:pos="9110"/>
            </w:tabs>
            <w:rPr>
              <w:noProof/>
            </w:rPr>
          </w:pPr>
          <w:hyperlink w:anchor="_Toc22334">
            <w:r>
              <w:rPr>
                <w:noProof/>
              </w:rPr>
              <w:t>5. Kiinteistöjen nykyinen tilanne</w:t>
            </w:r>
            <w:r>
              <w:rPr>
                <w:noProof/>
              </w:rPr>
              <w:tab/>
            </w:r>
            <w:r>
              <w:rPr>
                <w:noProof/>
              </w:rPr>
              <w:fldChar w:fldCharType="begin"/>
            </w:r>
            <w:r>
              <w:rPr>
                <w:noProof/>
              </w:rPr>
              <w:instrText>PAGEREF _Toc22334 \h</w:instrText>
            </w:r>
            <w:r>
              <w:rPr>
                <w:noProof/>
              </w:rPr>
            </w:r>
            <w:r>
              <w:rPr>
                <w:noProof/>
              </w:rPr>
              <w:fldChar w:fldCharType="separate"/>
            </w:r>
            <w:r>
              <w:rPr>
                <w:noProof/>
              </w:rPr>
              <w:t>10</w:t>
            </w:r>
            <w:r>
              <w:rPr>
                <w:noProof/>
              </w:rPr>
              <w:fldChar w:fldCharType="end"/>
            </w:r>
          </w:hyperlink>
        </w:p>
        <w:p w:rsidR="00C81D05" w:rsidRDefault="00F517B1">
          <w:pPr>
            <w:pStyle w:val="Sisluet2"/>
            <w:tabs>
              <w:tab w:val="right" w:leader="dot" w:pos="9110"/>
            </w:tabs>
            <w:rPr>
              <w:noProof/>
            </w:rPr>
          </w:pPr>
          <w:hyperlink w:anchor="_Toc22335">
            <w:r>
              <w:rPr>
                <w:noProof/>
              </w:rPr>
              <w:t>5.1. Kiinteistöjen nykyinen tilanne</w:t>
            </w:r>
            <w:r>
              <w:rPr>
                <w:noProof/>
              </w:rPr>
              <w:tab/>
            </w:r>
            <w:r>
              <w:rPr>
                <w:noProof/>
              </w:rPr>
              <w:fldChar w:fldCharType="begin"/>
            </w:r>
            <w:r>
              <w:rPr>
                <w:noProof/>
              </w:rPr>
              <w:instrText>PAGEREF _Toc22335 \h</w:instrText>
            </w:r>
            <w:r>
              <w:rPr>
                <w:noProof/>
              </w:rPr>
            </w:r>
            <w:r>
              <w:rPr>
                <w:noProof/>
              </w:rPr>
              <w:fldChar w:fldCharType="separate"/>
            </w:r>
            <w:r>
              <w:rPr>
                <w:noProof/>
              </w:rPr>
              <w:t>10</w:t>
            </w:r>
            <w:r>
              <w:rPr>
                <w:noProof/>
              </w:rPr>
              <w:fldChar w:fldCharType="end"/>
            </w:r>
          </w:hyperlink>
        </w:p>
        <w:p w:rsidR="00C81D05" w:rsidRDefault="00F517B1">
          <w:pPr>
            <w:pStyle w:val="Sisluet2"/>
            <w:tabs>
              <w:tab w:val="right" w:leader="dot" w:pos="9110"/>
            </w:tabs>
            <w:rPr>
              <w:noProof/>
            </w:rPr>
          </w:pPr>
          <w:hyperlink w:anchor="_Toc22336">
            <w:r>
              <w:rPr>
                <w:noProof/>
              </w:rPr>
              <w:t>5.2. Korj</w:t>
            </w:r>
            <w:r>
              <w:rPr>
                <w:noProof/>
              </w:rPr>
              <w:t>aus- ja ylläpitokustannusten kehitysarvio strategiakaudella</w:t>
            </w:r>
            <w:r>
              <w:rPr>
                <w:noProof/>
              </w:rPr>
              <w:tab/>
            </w:r>
            <w:r>
              <w:rPr>
                <w:noProof/>
              </w:rPr>
              <w:fldChar w:fldCharType="begin"/>
            </w:r>
            <w:r>
              <w:rPr>
                <w:noProof/>
              </w:rPr>
              <w:instrText>PAGEREF _Toc22336 \h</w:instrText>
            </w:r>
            <w:r>
              <w:rPr>
                <w:noProof/>
              </w:rPr>
            </w:r>
            <w:r>
              <w:rPr>
                <w:noProof/>
              </w:rPr>
              <w:fldChar w:fldCharType="separate"/>
            </w:r>
            <w:r>
              <w:rPr>
                <w:noProof/>
              </w:rPr>
              <w:t>11</w:t>
            </w:r>
            <w:r>
              <w:rPr>
                <w:noProof/>
              </w:rPr>
              <w:fldChar w:fldCharType="end"/>
            </w:r>
          </w:hyperlink>
        </w:p>
        <w:p w:rsidR="00C81D05" w:rsidRDefault="00F517B1">
          <w:pPr>
            <w:pStyle w:val="Sisluet2"/>
            <w:tabs>
              <w:tab w:val="right" w:leader="dot" w:pos="9110"/>
            </w:tabs>
            <w:rPr>
              <w:noProof/>
            </w:rPr>
          </w:pPr>
          <w:hyperlink w:anchor="_Toc22337">
            <w:r>
              <w:rPr>
                <w:noProof/>
              </w:rPr>
              <w:t>5.3. Seurakunnan toiminnot ja tilankäytön tehostaminen</w:t>
            </w:r>
            <w:r>
              <w:rPr>
                <w:noProof/>
              </w:rPr>
              <w:tab/>
            </w:r>
            <w:r>
              <w:rPr>
                <w:noProof/>
              </w:rPr>
              <w:fldChar w:fldCharType="begin"/>
            </w:r>
            <w:r>
              <w:rPr>
                <w:noProof/>
              </w:rPr>
              <w:instrText>PAGEREF _Toc22337 \h</w:instrText>
            </w:r>
            <w:r>
              <w:rPr>
                <w:noProof/>
              </w:rPr>
            </w:r>
            <w:r>
              <w:rPr>
                <w:noProof/>
              </w:rPr>
              <w:fldChar w:fldCharType="separate"/>
            </w:r>
            <w:r>
              <w:rPr>
                <w:noProof/>
              </w:rPr>
              <w:t>12</w:t>
            </w:r>
            <w:r>
              <w:rPr>
                <w:noProof/>
              </w:rPr>
              <w:fldChar w:fldCharType="end"/>
            </w:r>
          </w:hyperlink>
        </w:p>
        <w:p w:rsidR="00C81D05" w:rsidRDefault="00F517B1">
          <w:pPr>
            <w:pStyle w:val="Sisluet1"/>
            <w:tabs>
              <w:tab w:val="right" w:leader="dot" w:pos="9110"/>
            </w:tabs>
            <w:rPr>
              <w:noProof/>
            </w:rPr>
          </w:pPr>
          <w:hyperlink w:anchor="_Toc22338">
            <w:r>
              <w:rPr>
                <w:noProof/>
              </w:rPr>
              <w:t>6. Toteutussuunnitelma</w:t>
            </w:r>
            <w:r>
              <w:rPr>
                <w:noProof/>
              </w:rPr>
              <w:tab/>
            </w:r>
            <w:r>
              <w:rPr>
                <w:noProof/>
              </w:rPr>
              <w:fldChar w:fldCharType="begin"/>
            </w:r>
            <w:r>
              <w:rPr>
                <w:noProof/>
              </w:rPr>
              <w:instrText>PAGEREF _Toc22338 \h</w:instrText>
            </w:r>
            <w:r>
              <w:rPr>
                <w:noProof/>
              </w:rPr>
            </w:r>
            <w:r>
              <w:rPr>
                <w:noProof/>
              </w:rPr>
              <w:fldChar w:fldCharType="separate"/>
            </w:r>
            <w:r>
              <w:rPr>
                <w:noProof/>
              </w:rPr>
              <w:t>14</w:t>
            </w:r>
            <w:r>
              <w:rPr>
                <w:noProof/>
              </w:rPr>
              <w:fldChar w:fldCharType="end"/>
            </w:r>
          </w:hyperlink>
        </w:p>
        <w:p w:rsidR="00C81D05" w:rsidRDefault="00F517B1">
          <w:pPr>
            <w:pStyle w:val="Sisluet2"/>
            <w:tabs>
              <w:tab w:val="right" w:leader="dot" w:pos="9110"/>
            </w:tabs>
            <w:rPr>
              <w:noProof/>
            </w:rPr>
          </w:pPr>
          <w:hyperlink w:anchor="_Toc22339">
            <w:r>
              <w:rPr>
                <w:noProof/>
              </w:rPr>
              <w:t>6.1. Toimenpiteet</w:t>
            </w:r>
            <w:r>
              <w:rPr>
                <w:noProof/>
              </w:rPr>
              <w:t xml:space="preserve"> kiinteistöluopumisien osalta</w:t>
            </w:r>
            <w:r>
              <w:rPr>
                <w:noProof/>
              </w:rPr>
              <w:tab/>
            </w:r>
            <w:r>
              <w:rPr>
                <w:noProof/>
              </w:rPr>
              <w:fldChar w:fldCharType="begin"/>
            </w:r>
            <w:r>
              <w:rPr>
                <w:noProof/>
              </w:rPr>
              <w:instrText>PAGEREF _Toc22339 \h</w:instrText>
            </w:r>
            <w:r>
              <w:rPr>
                <w:noProof/>
              </w:rPr>
            </w:r>
            <w:r>
              <w:rPr>
                <w:noProof/>
              </w:rPr>
              <w:fldChar w:fldCharType="separate"/>
            </w:r>
            <w:r>
              <w:rPr>
                <w:noProof/>
              </w:rPr>
              <w:t>14</w:t>
            </w:r>
            <w:r>
              <w:rPr>
                <w:noProof/>
              </w:rPr>
              <w:fldChar w:fldCharType="end"/>
            </w:r>
          </w:hyperlink>
        </w:p>
        <w:p w:rsidR="00C81D05" w:rsidRDefault="00F517B1">
          <w:pPr>
            <w:pStyle w:val="Sisluet2"/>
            <w:tabs>
              <w:tab w:val="right" w:leader="dot" w:pos="9110"/>
            </w:tabs>
            <w:rPr>
              <w:noProof/>
            </w:rPr>
          </w:pPr>
          <w:hyperlink w:anchor="_Toc22340">
            <w:r>
              <w:rPr>
                <w:noProof/>
              </w:rPr>
              <w:t>6.2. Yleiset toimenpiteet kiinteistöjen korjauksien yhteydessä</w:t>
            </w:r>
            <w:r>
              <w:rPr>
                <w:noProof/>
              </w:rPr>
              <w:tab/>
            </w:r>
            <w:r>
              <w:rPr>
                <w:noProof/>
              </w:rPr>
              <w:fldChar w:fldCharType="begin"/>
            </w:r>
            <w:r>
              <w:rPr>
                <w:noProof/>
              </w:rPr>
              <w:instrText>PAGEREF _Toc22340 \h</w:instrText>
            </w:r>
            <w:r>
              <w:rPr>
                <w:noProof/>
              </w:rPr>
            </w:r>
            <w:r>
              <w:rPr>
                <w:noProof/>
              </w:rPr>
              <w:fldChar w:fldCharType="separate"/>
            </w:r>
            <w:r>
              <w:rPr>
                <w:noProof/>
              </w:rPr>
              <w:t>15</w:t>
            </w:r>
            <w:r>
              <w:rPr>
                <w:noProof/>
              </w:rPr>
              <w:fldChar w:fldCharType="end"/>
            </w:r>
          </w:hyperlink>
        </w:p>
        <w:p w:rsidR="00C81D05" w:rsidRDefault="00F517B1">
          <w:pPr>
            <w:pStyle w:val="Sisluet2"/>
            <w:tabs>
              <w:tab w:val="right" w:leader="dot" w:pos="9110"/>
            </w:tabs>
            <w:rPr>
              <w:noProof/>
            </w:rPr>
          </w:pPr>
          <w:hyperlink w:anchor="_Toc22341">
            <w:r>
              <w:rPr>
                <w:noProof/>
              </w:rPr>
              <w:t>6.3. Toimenpiteet ylläpitokustannusten hallitsemiseksi</w:t>
            </w:r>
            <w:r>
              <w:rPr>
                <w:noProof/>
              </w:rPr>
              <w:tab/>
            </w:r>
            <w:r>
              <w:rPr>
                <w:noProof/>
              </w:rPr>
              <w:fldChar w:fldCharType="begin"/>
            </w:r>
            <w:r>
              <w:rPr>
                <w:noProof/>
              </w:rPr>
              <w:instrText>PAGEREF _Toc22341 \h</w:instrText>
            </w:r>
            <w:r>
              <w:rPr>
                <w:noProof/>
              </w:rPr>
            </w:r>
            <w:r>
              <w:rPr>
                <w:noProof/>
              </w:rPr>
              <w:fldChar w:fldCharType="separate"/>
            </w:r>
            <w:r>
              <w:rPr>
                <w:noProof/>
              </w:rPr>
              <w:t>16</w:t>
            </w:r>
            <w:r>
              <w:rPr>
                <w:noProof/>
              </w:rPr>
              <w:fldChar w:fldCharType="end"/>
            </w:r>
          </w:hyperlink>
        </w:p>
        <w:p w:rsidR="00C81D05" w:rsidRDefault="00F517B1">
          <w:pPr>
            <w:pStyle w:val="Sisluet2"/>
            <w:tabs>
              <w:tab w:val="right" w:leader="dot" w:pos="9110"/>
            </w:tabs>
            <w:rPr>
              <w:noProof/>
            </w:rPr>
          </w:pPr>
          <w:hyperlink w:anchor="_Toc22342">
            <w:r>
              <w:rPr>
                <w:noProof/>
              </w:rPr>
              <w:t>6.4. Toimenpiteet osake- ja liikehuoneistojen kustannusten hallitsemiseksi sekäsijoitetun pääoman tuoton turvaamiseksi</w:t>
            </w:r>
            <w:r>
              <w:rPr>
                <w:noProof/>
              </w:rPr>
              <w:tab/>
            </w:r>
            <w:r>
              <w:rPr>
                <w:noProof/>
              </w:rPr>
              <w:fldChar w:fldCharType="begin"/>
            </w:r>
            <w:r>
              <w:rPr>
                <w:noProof/>
              </w:rPr>
              <w:instrText>PAGEREF _Toc22342 \h</w:instrText>
            </w:r>
            <w:r>
              <w:rPr>
                <w:noProof/>
              </w:rPr>
            </w:r>
            <w:r>
              <w:rPr>
                <w:noProof/>
              </w:rPr>
              <w:fldChar w:fldCharType="separate"/>
            </w:r>
            <w:r>
              <w:rPr>
                <w:noProof/>
              </w:rPr>
              <w:t>16</w:t>
            </w:r>
            <w:r>
              <w:rPr>
                <w:noProof/>
              </w:rPr>
              <w:fldChar w:fldCharType="end"/>
            </w:r>
          </w:hyperlink>
        </w:p>
        <w:p w:rsidR="00C81D05" w:rsidRDefault="00F517B1">
          <w:pPr>
            <w:pStyle w:val="Sisluet2"/>
            <w:tabs>
              <w:tab w:val="right" w:leader="dot" w:pos="9110"/>
            </w:tabs>
            <w:rPr>
              <w:noProof/>
            </w:rPr>
          </w:pPr>
          <w:hyperlink w:anchor="_Toc22343">
            <w:r>
              <w:rPr>
                <w:noProof/>
              </w:rPr>
              <w:t>6.5. Strategian keskeisimmät toimenpiteet</w:t>
            </w:r>
            <w:r>
              <w:rPr>
                <w:noProof/>
              </w:rPr>
              <w:tab/>
            </w:r>
            <w:r>
              <w:rPr>
                <w:noProof/>
              </w:rPr>
              <w:fldChar w:fldCharType="begin"/>
            </w:r>
            <w:r>
              <w:rPr>
                <w:noProof/>
              </w:rPr>
              <w:instrText>PAGEREF _Toc22343 \h</w:instrText>
            </w:r>
            <w:r>
              <w:rPr>
                <w:noProof/>
              </w:rPr>
            </w:r>
            <w:r>
              <w:rPr>
                <w:noProof/>
              </w:rPr>
              <w:fldChar w:fldCharType="separate"/>
            </w:r>
            <w:r>
              <w:rPr>
                <w:noProof/>
              </w:rPr>
              <w:t>17</w:t>
            </w:r>
            <w:r>
              <w:rPr>
                <w:noProof/>
              </w:rPr>
              <w:fldChar w:fldCharType="end"/>
            </w:r>
          </w:hyperlink>
        </w:p>
        <w:p w:rsidR="00C81D05" w:rsidRDefault="00F517B1">
          <w:pPr>
            <w:pStyle w:val="Sisluet2"/>
            <w:tabs>
              <w:tab w:val="right" w:leader="dot" w:pos="9110"/>
            </w:tabs>
            <w:rPr>
              <w:noProof/>
            </w:rPr>
          </w:pPr>
          <w:hyperlink w:anchor="_Toc22344">
            <w:r>
              <w:rPr>
                <w:noProof/>
              </w:rPr>
              <w:t>6.6. Resursointi ja vastuut</w:t>
            </w:r>
            <w:r>
              <w:rPr>
                <w:noProof/>
              </w:rPr>
              <w:tab/>
            </w:r>
            <w:r>
              <w:rPr>
                <w:noProof/>
              </w:rPr>
              <w:fldChar w:fldCharType="begin"/>
            </w:r>
            <w:r>
              <w:rPr>
                <w:noProof/>
              </w:rPr>
              <w:instrText>PAGEREF _Toc22344 \h</w:instrText>
            </w:r>
            <w:r>
              <w:rPr>
                <w:noProof/>
              </w:rPr>
            </w:r>
            <w:r>
              <w:rPr>
                <w:noProof/>
              </w:rPr>
              <w:fldChar w:fldCharType="separate"/>
            </w:r>
            <w:r>
              <w:rPr>
                <w:noProof/>
              </w:rPr>
              <w:t>17</w:t>
            </w:r>
            <w:r>
              <w:rPr>
                <w:noProof/>
              </w:rPr>
              <w:fldChar w:fldCharType="end"/>
            </w:r>
          </w:hyperlink>
        </w:p>
        <w:p w:rsidR="00C81D05" w:rsidRDefault="00F517B1">
          <w:pPr>
            <w:pStyle w:val="Sisluet1"/>
            <w:tabs>
              <w:tab w:val="right" w:leader="dot" w:pos="9110"/>
            </w:tabs>
            <w:rPr>
              <w:noProof/>
            </w:rPr>
          </w:pPr>
          <w:hyperlink w:anchor="_Toc22345">
            <w:r>
              <w:rPr>
                <w:noProof/>
              </w:rPr>
              <w:t>7. Henkilöstövaikutukset</w:t>
            </w:r>
            <w:r>
              <w:rPr>
                <w:noProof/>
              </w:rPr>
              <w:tab/>
            </w:r>
            <w:r>
              <w:rPr>
                <w:noProof/>
              </w:rPr>
              <w:fldChar w:fldCharType="begin"/>
            </w:r>
            <w:r>
              <w:rPr>
                <w:noProof/>
              </w:rPr>
              <w:instrText>PAGEREF _Toc22345 \h</w:instrText>
            </w:r>
            <w:r>
              <w:rPr>
                <w:noProof/>
              </w:rPr>
            </w:r>
            <w:r>
              <w:rPr>
                <w:noProof/>
              </w:rPr>
              <w:fldChar w:fldCharType="separate"/>
            </w:r>
            <w:r>
              <w:rPr>
                <w:noProof/>
              </w:rPr>
              <w:t>18</w:t>
            </w:r>
            <w:r>
              <w:rPr>
                <w:noProof/>
              </w:rPr>
              <w:fldChar w:fldCharType="end"/>
            </w:r>
          </w:hyperlink>
        </w:p>
        <w:p w:rsidR="00C81D05" w:rsidRDefault="00F517B1">
          <w:pPr>
            <w:pStyle w:val="Sisluet1"/>
            <w:tabs>
              <w:tab w:val="right" w:leader="dot" w:pos="9110"/>
            </w:tabs>
            <w:rPr>
              <w:noProof/>
            </w:rPr>
          </w:pPr>
          <w:hyperlink w:anchor="_Toc22346">
            <w:r>
              <w:rPr>
                <w:noProof/>
              </w:rPr>
              <w:t>8. Kiinteistöstrategian seuranta ja päivittäminen</w:t>
            </w:r>
            <w:r>
              <w:rPr>
                <w:noProof/>
              </w:rPr>
              <w:tab/>
            </w:r>
            <w:r>
              <w:rPr>
                <w:noProof/>
              </w:rPr>
              <w:fldChar w:fldCharType="begin"/>
            </w:r>
            <w:r>
              <w:rPr>
                <w:noProof/>
              </w:rPr>
              <w:instrText>P</w:instrText>
            </w:r>
            <w:r>
              <w:rPr>
                <w:noProof/>
              </w:rPr>
              <w:instrText>AGEREF _Toc22346 \h</w:instrText>
            </w:r>
            <w:r>
              <w:rPr>
                <w:noProof/>
              </w:rPr>
            </w:r>
            <w:r>
              <w:rPr>
                <w:noProof/>
              </w:rPr>
              <w:fldChar w:fldCharType="separate"/>
            </w:r>
            <w:r>
              <w:rPr>
                <w:noProof/>
              </w:rPr>
              <w:t>19</w:t>
            </w:r>
            <w:r>
              <w:rPr>
                <w:noProof/>
              </w:rPr>
              <w:fldChar w:fldCharType="end"/>
            </w:r>
          </w:hyperlink>
        </w:p>
        <w:p w:rsidR="00C81D05" w:rsidRDefault="00F517B1">
          <w:pPr>
            <w:pStyle w:val="Sisluet2"/>
            <w:tabs>
              <w:tab w:val="right" w:leader="dot" w:pos="9110"/>
            </w:tabs>
            <w:rPr>
              <w:noProof/>
            </w:rPr>
          </w:pPr>
          <w:hyperlink w:anchor="_Toc22347">
            <w:r>
              <w:rPr>
                <w:noProof/>
              </w:rPr>
              <w:t>8.1. Aikataulu ja raportointi</w:t>
            </w:r>
            <w:r>
              <w:rPr>
                <w:noProof/>
              </w:rPr>
              <w:tab/>
            </w:r>
            <w:r>
              <w:rPr>
                <w:noProof/>
              </w:rPr>
              <w:fldChar w:fldCharType="begin"/>
            </w:r>
            <w:r>
              <w:rPr>
                <w:noProof/>
              </w:rPr>
              <w:instrText>PAGEREF _Toc22347 \h</w:instrText>
            </w:r>
            <w:r>
              <w:rPr>
                <w:noProof/>
              </w:rPr>
            </w:r>
            <w:r>
              <w:rPr>
                <w:noProof/>
              </w:rPr>
              <w:fldChar w:fldCharType="separate"/>
            </w:r>
            <w:r>
              <w:rPr>
                <w:noProof/>
              </w:rPr>
              <w:t>19</w:t>
            </w:r>
            <w:r>
              <w:rPr>
                <w:noProof/>
              </w:rPr>
              <w:fldChar w:fldCharType="end"/>
            </w:r>
          </w:hyperlink>
        </w:p>
        <w:p w:rsidR="00C81D05" w:rsidRDefault="00F517B1">
          <w:r>
            <w:fldChar w:fldCharType="end"/>
          </w:r>
        </w:p>
      </w:sdtContent>
    </w:sdt>
    <w:p w:rsidR="00C81D05" w:rsidRDefault="00F517B1">
      <w:pPr>
        <w:spacing w:line="259" w:lineRule="auto"/>
        <w:ind w:left="10" w:right="25"/>
      </w:pPr>
      <w:r>
        <w:t>Liitteet:</w:t>
      </w:r>
    </w:p>
    <w:p w:rsidR="00C81D05" w:rsidRDefault="00F517B1">
      <w:pPr>
        <w:numPr>
          <w:ilvl w:val="0"/>
          <w:numId w:val="1"/>
        </w:numPr>
        <w:spacing w:line="259" w:lineRule="auto"/>
        <w:ind w:right="25" w:hanging="251"/>
      </w:pPr>
      <w:r>
        <w:t>Arvio s</w:t>
      </w:r>
      <w:r>
        <w:t>eurakunnan talouskehityksestä</w:t>
      </w:r>
    </w:p>
    <w:p w:rsidR="00C81D05" w:rsidRDefault="00F517B1">
      <w:pPr>
        <w:numPr>
          <w:ilvl w:val="0"/>
          <w:numId w:val="1"/>
        </w:numPr>
        <w:spacing w:line="259" w:lineRule="auto"/>
        <w:ind w:right="25" w:hanging="251"/>
      </w:pPr>
      <w:r>
        <w:t>Kiinteistöluokitukset</w:t>
      </w:r>
    </w:p>
    <w:p w:rsidR="00C81D05" w:rsidRDefault="00F517B1">
      <w:pPr>
        <w:numPr>
          <w:ilvl w:val="0"/>
          <w:numId w:val="1"/>
        </w:numPr>
        <w:spacing w:line="259" w:lineRule="auto"/>
        <w:ind w:right="25" w:hanging="251"/>
      </w:pPr>
      <w:r>
        <w:t>Kiinteistöjen sijainnit</w:t>
      </w:r>
    </w:p>
    <w:p w:rsidR="00C81D05" w:rsidRDefault="00F517B1">
      <w:pPr>
        <w:pStyle w:val="Otsikko1"/>
        <w:ind w:left="345" w:hanging="360"/>
      </w:pPr>
      <w:bookmarkStart w:id="1" w:name="_Toc22328"/>
      <w:r>
        <w:t>Kiinteistöstrategian laatijat ja aikataulu</w:t>
      </w:r>
      <w:bookmarkEnd w:id="1"/>
    </w:p>
    <w:p w:rsidR="00C81D05" w:rsidRDefault="00F517B1">
      <w:pPr>
        <w:spacing w:after="385"/>
        <w:ind w:left="2549" w:right="25"/>
      </w:pPr>
      <w:r>
        <w:t>Jyväskylän maa- ja kaupunkiseurakunta sekä Korpilahden seurakunta yhdistyivät 1.1.2009 Jyväskylän seurakunnaksi. Jyväskylän seurakunnan k</w:t>
      </w:r>
      <w:r>
        <w:t>iinteistöstrategia on laadittu Jyväskylän seurakunnalle marraskuun 2009 ja maaliskuun 2010 välisenä aikana.</w:t>
      </w:r>
    </w:p>
    <w:p w:rsidR="00C81D05" w:rsidRDefault="00F517B1">
      <w:pPr>
        <w:spacing w:after="385"/>
        <w:ind w:left="2549" w:right="25"/>
      </w:pPr>
      <w:r>
        <w:rPr>
          <w:noProof/>
        </w:rPr>
        <w:drawing>
          <wp:anchor distT="0" distB="0" distL="114300" distR="114300" simplePos="0" relativeHeight="251659264"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2639568" cy="100571"/>
                    </a:xfrm>
                    <a:prstGeom prst="rect">
                      <a:avLst/>
                    </a:prstGeom>
                  </pic:spPr>
                </pic:pic>
              </a:graphicData>
            </a:graphic>
          </wp:anchor>
        </w:drawing>
      </w:r>
      <w:r>
        <w:t>Kiinteistöstrategian lähtötietoaineisto on koottu vuoden 2009 aikana ulkopuolisen asiantuntijan toimesta haastattelemalla kiinteistö-, hautaus- ja leirikeskustoiminnoista vastaavat. Työn aikana on kuultu aluekappalaiset (yhdeksän henkilöä), alueneuvostojen</w:t>
      </w:r>
      <w:r>
        <w:t xml:space="preserve"> puheenjohtajat ja alueneuvostot. Kiinteistöjen peruskorjaustarpeet </w:t>
      </w:r>
      <w:r>
        <w:lastRenderedPageBreak/>
        <w:t>ja käyttöasteet on selvitetty tutustumalla seurakunnan kiinteistöihin ja haastattelemalla aluekappalaisia sekä kiinteistöpäällikkö Veikko Toivakkaa. Lähtötiedot on koottu raportiksi ”Jyväs</w:t>
      </w:r>
      <w:r>
        <w:t>kylän seurakunnan kiinteistöselvitys 2010 – 2020”, joka on esitelty kirkkoneuvostolle ja –valtuustolle.</w:t>
      </w:r>
    </w:p>
    <w:p w:rsidR="00C81D05" w:rsidRDefault="00F517B1">
      <w:pPr>
        <w:spacing w:after="385"/>
        <w:ind w:left="2549" w:right="25"/>
      </w:pPr>
      <w:r>
        <w:t>Kiinteistöstrategian on valmistellut kirkkoneuvoston toimeksiannosta kiinteistöstrategiatyöhön nimetty ohjausryhmä, johon ovat kuuluneet Jyväskylän seur</w:t>
      </w:r>
      <w:r>
        <w:t>akunnan kirkkoherra Jukka Keskitalo, hallintojohtaja Mirja Niemi ja kiinteistöpäällikkö Veikko Toivakka sekä kirkkoneuvoston valitsemina edustajina Briitta Järvenpää, Tapio Lampinen ja Pentti Vilpunaho. Strategiatyössä avustajana on toiminut Infonia Oy:stä</w:t>
      </w:r>
      <w:r>
        <w:t xml:space="preserve"> kehityspäällikkö Petri Kontula.</w:t>
      </w:r>
    </w:p>
    <w:p w:rsidR="00C81D05" w:rsidRDefault="00F517B1">
      <w:pPr>
        <w:ind w:left="2549" w:right="25"/>
      </w:pPr>
      <w:r>
        <w:t>Strategian valmistelun yhteydessä on lisäksi käyty neuvotteluja Keski-Suomen Museon ja Jyväskylän kaupungin edustajien kanssa.</w:t>
      </w:r>
    </w:p>
    <w:p w:rsidR="00C81D05" w:rsidRDefault="00F517B1">
      <w:pPr>
        <w:spacing w:after="515"/>
        <w:ind w:left="2549" w:right="25"/>
      </w:pPr>
      <w:r>
        <w:t>Työryhmä on toimeksiantonsa mukaisesti valmistellut kirkkoneuvostolle kiinteistöstrategian.</w:t>
      </w:r>
    </w:p>
    <w:p w:rsidR="00C81D05" w:rsidRDefault="00F517B1">
      <w:pPr>
        <w:pStyle w:val="Otsikko1"/>
        <w:ind w:left="345" w:hanging="360"/>
      </w:pPr>
      <w:bookmarkStart w:id="2" w:name="_Toc22329"/>
      <w:r>
        <w:t>Yhteystiedot</w:t>
      </w:r>
      <w:bookmarkEnd w:id="2"/>
    </w:p>
    <w:p w:rsidR="00C81D05" w:rsidRDefault="00F517B1">
      <w:pPr>
        <w:spacing w:line="259" w:lineRule="auto"/>
        <w:ind w:left="2549" w:right="25"/>
      </w:pPr>
      <w:r>
        <w:t>Jyväskylän seurakunta</w:t>
      </w:r>
    </w:p>
    <w:p w:rsidR="00C81D05" w:rsidRDefault="00F517B1">
      <w:pPr>
        <w:spacing w:after="379" w:line="358" w:lineRule="auto"/>
        <w:ind w:left="2549" w:right="3116"/>
        <w:jc w:val="left"/>
      </w:pPr>
      <w:r>
        <w:t xml:space="preserve">Yliopistonkatu 12, 40100 Jyväskylä gsm. 040 5352 551 hallintojohtaja Mirja Niemi </w:t>
      </w:r>
      <w:r>
        <w:rPr>
          <w:color w:val="0000FF"/>
          <w:u w:val="single" w:color="0000FF"/>
        </w:rPr>
        <w:t>mirja.l.niemi@evl.fi</w:t>
      </w:r>
    </w:p>
    <w:p w:rsidR="00C81D05" w:rsidRDefault="00F517B1">
      <w:pPr>
        <w:spacing w:after="399"/>
        <w:ind w:left="2549" w:right="25"/>
      </w:pPr>
      <w:r>
        <w:t>tai</w:t>
      </w:r>
    </w:p>
    <w:p w:rsidR="00C81D05" w:rsidRDefault="00F517B1">
      <w:pPr>
        <w:spacing w:line="259" w:lineRule="auto"/>
        <w:ind w:left="2549" w:right="25"/>
      </w:pPr>
      <w:r>
        <w:rPr>
          <w:noProof/>
        </w:rPr>
        <w:drawing>
          <wp:anchor distT="0" distB="0" distL="114300" distR="114300" simplePos="0" relativeHeight="251660288"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0"/>
                    <a:stretch>
                      <a:fillRect/>
                    </a:stretch>
                  </pic:blipFill>
                  <pic:spPr>
                    <a:xfrm>
                      <a:off x="0" y="0"/>
                      <a:ext cx="2639568" cy="100571"/>
                    </a:xfrm>
                    <a:prstGeom prst="rect">
                      <a:avLst/>
                    </a:prstGeom>
                  </pic:spPr>
                </pic:pic>
              </a:graphicData>
            </a:graphic>
          </wp:anchor>
        </w:drawing>
      </w:r>
      <w:r>
        <w:t>Jyväskylän seurakunta</w:t>
      </w:r>
    </w:p>
    <w:p w:rsidR="00C81D05" w:rsidRDefault="00F517B1">
      <w:pPr>
        <w:spacing w:after="1267" w:line="358" w:lineRule="auto"/>
        <w:ind w:left="2549" w:right="3116"/>
        <w:jc w:val="left"/>
      </w:pPr>
      <w:r>
        <w:t xml:space="preserve">Yliopistonkatu 12, 40100 Jyväskylä gsm. 050 363 2300 kirkkoherra Jukka Keskitalo </w:t>
      </w:r>
      <w:r>
        <w:rPr>
          <w:color w:val="0000FF"/>
          <w:u w:val="single" w:color="0000FF"/>
        </w:rPr>
        <w:t>jukka.keski</w:t>
      </w:r>
      <w:r>
        <w:rPr>
          <w:color w:val="0000FF"/>
          <w:u w:val="single" w:color="0000FF"/>
        </w:rPr>
        <w:t>talo@evl.fi</w:t>
      </w:r>
    </w:p>
    <w:p w:rsidR="00C81D05" w:rsidRDefault="00F517B1">
      <w:pPr>
        <w:pStyle w:val="Otsikko1"/>
        <w:ind w:left="345" w:hanging="360"/>
      </w:pPr>
      <w:bookmarkStart w:id="3" w:name="_Toc22330"/>
      <w:r>
        <w:t>Kiinteistöstrategian taustalla olevat toiminnalliset ja strategiset linjaukset</w:t>
      </w:r>
      <w:bookmarkEnd w:id="3"/>
    </w:p>
    <w:p w:rsidR="00C81D05" w:rsidRDefault="00F517B1">
      <w:pPr>
        <w:ind w:left="2549" w:right="25"/>
      </w:pPr>
      <w:r>
        <w:t xml:space="preserve">Kiinteistöstrategiassa tukeudutaan niihin toiminnallisiin linjauksiin, jotka on ilmaistu kirkon yhteisessä vuoteen 2015 ulottuvassa Meidän kirkko –strategiassa sekä </w:t>
      </w:r>
      <w:r>
        <w:t>Jyväskylän seurakunnan vuoteen 2010 ulottuvassa Rohkeasti hengellinen – Reilusti välittävä – strategiassa.</w:t>
      </w:r>
    </w:p>
    <w:p w:rsidR="00C81D05" w:rsidRDefault="00F517B1">
      <w:pPr>
        <w:spacing w:after="385"/>
        <w:ind w:left="2549" w:right="25"/>
      </w:pPr>
      <w:r>
        <w:t>Edellä mainituista linjauksista nostetaan nyt kiinteistöstrategian valmistelun yhteydessä esille erityisesti seuraavat näkökohdat:</w:t>
      </w:r>
    </w:p>
    <w:p w:rsidR="00C81D05" w:rsidRDefault="00F517B1">
      <w:pPr>
        <w:numPr>
          <w:ilvl w:val="0"/>
          <w:numId w:val="2"/>
        </w:numPr>
        <w:spacing w:after="385"/>
        <w:ind w:left="2899" w:right="25" w:hanging="360"/>
      </w:pPr>
      <w:r>
        <w:t>Seurakunnallinen t</w:t>
      </w:r>
      <w:r>
        <w:t>oiminta organisoidaan alueseurakuntamallin pohjalta. Yhteinen seurakuntapalvelu ja kokoseurakunnalliset tehtäväalueet hoitavat erityistehtäviä ja tukevat alueseurakuntien työtä. Tämä merkitsee sitä, että alueseurakunta on se toiminnallinen perusyksikkö, jo</w:t>
      </w:r>
      <w:r>
        <w:t>ssa toimintaa ja sen toteutuspaikkoja tarkastellaan kokonaisuutena.</w:t>
      </w:r>
    </w:p>
    <w:p w:rsidR="00C81D05" w:rsidRDefault="00F517B1">
      <w:pPr>
        <w:numPr>
          <w:ilvl w:val="0"/>
          <w:numId w:val="2"/>
        </w:numPr>
        <w:spacing w:after="625"/>
        <w:ind w:left="2899" w:right="25" w:hanging="360"/>
      </w:pPr>
      <w:r>
        <w:rPr>
          <w:noProof/>
        </w:rPr>
        <w:drawing>
          <wp:anchor distT="0" distB="0" distL="114300" distR="114300" simplePos="0" relativeHeight="251661312"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1"/>
                    <a:stretch>
                      <a:fillRect/>
                    </a:stretch>
                  </pic:blipFill>
                  <pic:spPr>
                    <a:xfrm>
                      <a:off x="0" y="0"/>
                      <a:ext cx="2639568" cy="100571"/>
                    </a:xfrm>
                    <a:prstGeom prst="rect">
                      <a:avLst/>
                    </a:prstGeom>
                  </pic:spPr>
                </pic:pic>
              </a:graphicData>
            </a:graphic>
          </wp:anchor>
        </w:drawing>
      </w:r>
      <w:r>
        <w:t>Kirkon tulevaisuuden kannalta olennaiseksi nähdään kristillisen perinnön siirtyminen sukupolvelta toiselle. Tämän vuoksi lapsija nuorisotyön edellytysten turvaaminen on tärkeää. Työ laste</w:t>
      </w:r>
      <w:r>
        <w:t>n ja nuorten parissa voi tapahtua omien tilojen lisäksi myös verkostomaisesti yhteistyössä päiväkotien ja koulujen kanssa tai vuokratuissa tiloissa.</w:t>
      </w:r>
    </w:p>
    <w:p w:rsidR="00C81D05" w:rsidRDefault="00F517B1">
      <w:pPr>
        <w:numPr>
          <w:ilvl w:val="0"/>
          <w:numId w:val="2"/>
        </w:numPr>
        <w:ind w:left="2899" w:right="25" w:hanging="360"/>
      </w:pPr>
      <w:r>
        <w:t>Seurakuntatyössä pyritään jatkossa yhä enemmän verkostoituvaan työotteeseen, mikä vähentää toiminnan sitout</w:t>
      </w:r>
      <w:r>
        <w:t>umista pelkästään omiin tiloihin. Käytännössä tämä voi merkitä esim. lisääntyvää yhteistyötä koulujen, päiväkotien, järjestöjen ja työpaikkojen kanssa siten, että seurakunnan toimintaa viedään yhä enemmän sinne, missä seurakuntalaiset jo luonnostaan ovat k</w:t>
      </w:r>
      <w:r>
        <w:t>oolla. Toiminnallisten työntekijöiden työajasta mahdollisimman suuri osa tulee kulua erimuotoisessa kontaktissa seurakuntalaisten kanssa.</w:t>
      </w:r>
    </w:p>
    <w:p w:rsidR="00C81D05" w:rsidRDefault="00F517B1">
      <w:pPr>
        <w:numPr>
          <w:ilvl w:val="0"/>
          <w:numId w:val="2"/>
        </w:numPr>
        <w:spacing w:after="6"/>
        <w:ind w:left="2899" w:right="25" w:hanging="360"/>
      </w:pPr>
      <w:r>
        <w:t>Verkostoitumista voidaan edistää toisaalta omien tilojen avulla lisäämällä seurakuntasalien/-keskusten ulkopuolista käyttöä.</w:t>
      </w:r>
    </w:p>
    <w:p w:rsidR="00C81D05" w:rsidRDefault="00F517B1">
      <w:pPr>
        <w:spacing w:after="639"/>
        <w:ind w:left="2924" w:right="25"/>
      </w:pPr>
      <w:r>
        <w:t>Näin luodaan samalla uutta paikallista yhteisöllisyyttä.</w:t>
      </w:r>
    </w:p>
    <w:p w:rsidR="00C81D05" w:rsidRDefault="00F517B1">
      <w:pPr>
        <w:numPr>
          <w:ilvl w:val="0"/>
          <w:numId w:val="2"/>
        </w:numPr>
        <w:spacing w:after="515"/>
        <w:ind w:left="2899" w:right="25" w:hanging="360"/>
      </w:pPr>
      <w:r>
        <w:t>Kirkkosalien omaa käyttöä monipuolistamalla syntyy tuntu siitä, että se on</w:t>
      </w:r>
      <w:r>
        <w:t xml:space="preserve"> meidän oma salimme. Näin seurakuntalaiset sitoutuvat entistä vahvemmin seurakuntaan ja omaan kirkkoonsa.</w:t>
      </w:r>
    </w:p>
    <w:p w:rsidR="00C81D05" w:rsidRDefault="00F517B1">
      <w:pPr>
        <w:pStyle w:val="Otsikko1"/>
        <w:ind w:left="345" w:hanging="360"/>
      </w:pPr>
      <w:bookmarkStart w:id="4" w:name="_Toc22331"/>
      <w:r>
        <w:t>Kiinteistöstrategian tarpeellisuus ja sen tavoitteet</w:t>
      </w:r>
      <w:bookmarkEnd w:id="4"/>
    </w:p>
    <w:p w:rsidR="00C81D05" w:rsidRDefault="00F517B1">
      <w:pPr>
        <w:pStyle w:val="Otsikko2"/>
        <w:spacing w:after="394"/>
        <w:ind w:left="792" w:right="25" w:hanging="432"/>
      </w:pPr>
      <w:bookmarkStart w:id="5" w:name="_Toc22332"/>
      <w:r>
        <w:t>Kiinteistöstrategian tarpeellisuus</w:t>
      </w:r>
      <w:bookmarkEnd w:id="5"/>
    </w:p>
    <w:p w:rsidR="00C81D05" w:rsidRDefault="00F517B1">
      <w:pPr>
        <w:spacing w:after="625"/>
        <w:ind w:left="2549" w:right="25"/>
      </w:pPr>
      <w:r>
        <w:rPr>
          <w:noProof/>
        </w:rPr>
        <w:drawing>
          <wp:anchor distT="0" distB="0" distL="114300" distR="114300" simplePos="0" relativeHeight="251662336"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2"/>
                    <a:stretch>
                      <a:fillRect/>
                    </a:stretch>
                  </pic:blipFill>
                  <pic:spPr>
                    <a:xfrm>
                      <a:off x="0" y="0"/>
                      <a:ext cx="2639568" cy="100571"/>
                    </a:xfrm>
                    <a:prstGeom prst="rect">
                      <a:avLst/>
                    </a:prstGeom>
                  </pic:spPr>
                </pic:pic>
              </a:graphicData>
            </a:graphic>
          </wp:anchor>
        </w:drawing>
      </w:r>
      <w:r>
        <w:t>Kiinteistöstrategian tarpeellisuus oli todettu jo kaikkien yh</w:t>
      </w:r>
      <w:r>
        <w:t>distyneiden seurakuntien suunnittelussa. Korpilahden seurakunta hyväksyi v. 2008 kiinteistöstrategian vuosille 2008-2015.  Strategiassa oli huomioitu tuleva seurakuntien yhdistyminen ja uuden seurakunnan perustaminen. Jyväskylän kaupunkiseurakunta hyväksyi</w:t>
      </w:r>
      <w:r>
        <w:t xml:space="preserve"> 3.10.2006 oman kiinteistöstrategiansa vuosille 2007-2015. Jyväskylän maaseurakunnan vuodelle 2015 laaditussa strategiassa linjattiin erikseen resurssien osalta toimitilojen käyttöä ja ylläpitoa. Kaikkien mainittujen strategioiden valmistelun aikana tiedos</w:t>
      </w:r>
      <w:r>
        <w:t>sa on ollut kuntien yhdistymistä koskevat suunnitelmat ja tästä seuraava mahdollinen seurakuntarakenteen muutos.</w:t>
      </w:r>
    </w:p>
    <w:p w:rsidR="00C81D05" w:rsidRDefault="00F517B1">
      <w:pPr>
        <w:spacing w:after="7"/>
        <w:ind w:left="2549" w:right="25"/>
      </w:pPr>
      <w:r>
        <w:t>Jyväskylän seurakunnan kiinteistöselvityksen laatiminen käynnistyi järjestelytoimikunnan 13.8.2008 tekemällä päätöksellä. Kyseisessä päätöksess</w:t>
      </w:r>
      <w:r>
        <w:t>ä kiinteistöhallinnolle annettiin tehtäväksi laatia 15.4.2009 mennessä tekninen selvitys kiinteistöjen kunnosta ja peruskorjaus- ja ylläpitotarpeista. Päätöksessä todettiin, että selvityksen pohjalta tullaan laatimaan Jyväskylän seurakunnan kiinteistöstrat</w:t>
      </w:r>
      <w:r>
        <w:t>egia. Perusteina strategian tarpeellisuudelle järjestelytoimikunnassa nähtiin tarve kiinteistökustannusten alentamiseen, teistömassan kasvaminen uuden seurakunnan perustamisen tä ja näin tarve hallita korjaus- ja investointikustannuksia.</w:t>
      </w:r>
    </w:p>
    <w:p w:rsidR="00C81D05" w:rsidRDefault="00F517B1">
      <w:pPr>
        <w:spacing w:after="644"/>
        <w:ind w:left="2549" w:right="25"/>
      </w:pPr>
      <w:r>
        <w:t>Edelleen todettiin</w:t>
      </w:r>
      <w:r>
        <w:t xml:space="preserve"> tarve toimitilojen käytön tehostamiseen.</w:t>
      </w:r>
    </w:p>
    <w:p w:rsidR="00C81D05" w:rsidRDefault="00F517B1">
      <w:pPr>
        <w:spacing w:after="625"/>
        <w:ind w:left="2549" w:right="25"/>
      </w:pPr>
      <w:r>
        <w:rPr>
          <w:noProof/>
        </w:rPr>
        <w:drawing>
          <wp:anchor distT="0" distB="0" distL="114300" distR="114300" simplePos="0" relativeHeight="25166336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3"/>
                    <a:stretch>
                      <a:fillRect/>
                    </a:stretch>
                  </pic:blipFill>
                  <pic:spPr>
                    <a:xfrm>
                      <a:off x="0" y="0"/>
                      <a:ext cx="2639568" cy="100571"/>
                    </a:xfrm>
                    <a:prstGeom prst="rect">
                      <a:avLst/>
                    </a:prstGeom>
                  </pic:spPr>
                </pic:pic>
              </a:graphicData>
            </a:graphic>
          </wp:anchor>
        </w:drawing>
      </w:r>
      <w:r>
        <w:t>Jyväskylän seurakunnan kirkkoneuvosto sai 15.4.2009 käsiteltäväkseen järjestelytoimikunnan toimeksiannon perusteella laaditun kiinteistöraportin. Kirkkoneuvosto hyväksyi sen jatkotoimenpiteiden pohjaksi.  Kirkkone</w:t>
      </w:r>
      <w:r>
        <w:t>uvosto käsitteli 23.9.2009 Infonia Oy.n laatiman kiinteistöselvityksen esittäen sen edelleen tiedoksi kirkkovaltuustolle, joka käsitteli selvityksen 7.10.2009. Kiinteistöselvityksessä nousi keskeisenä esiin kiinteistöomaisuuden laajuus, n. 43 000 kerrosnel</w:t>
      </w:r>
      <w:r>
        <w:t>iömetriä, sekä tämän kiinteistömassan edellyttämä huomattava investointitarve, n. 40 M€ seuraavien 10 vuoden aikana.</w:t>
      </w:r>
    </w:p>
    <w:p w:rsidR="00C81D05" w:rsidRDefault="00F517B1">
      <w:pPr>
        <w:spacing w:after="625"/>
        <w:ind w:left="2549" w:right="25"/>
      </w:pPr>
      <w:r>
        <w:t>Kirkkoneuvoston budjettiseminaarissa 23. - 24.10.2009 todettiin kiinteistöstrategian välttämättömyys. Keskeisiä perusteita olivat kiinteist</w:t>
      </w:r>
      <w:r>
        <w:t>öjen huomattava korjaustarve ja kiinteistökustannusten odotettavissa oleva voimakas kohoaminen tulevina vuosina. Strategian lähtökohdiksi todettiin seurakunnan strategia ja ydintoiminnot. 18.11.2009 kirkkoneuvosto asetti työryhmän, jonka tehtäväksi annetti</w:t>
      </w:r>
      <w:r>
        <w:t>in kiinteistöstrategian valmistelun ohjaaminen sekä kiinteistöstrategiaa koskevan esityksen laatiminen.</w:t>
      </w:r>
    </w:p>
    <w:p w:rsidR="00C81D05" w:rsidRDefault="00F517B1">
      <w:pPr>
        <w:spacing w:after="1120"/>
        <w:ind w:left="2549" w:right="25"/>
      </w:pPr>
      <w:r>
        <w:t>Kiinteistöstrategian liitteenä olevasta talouden ennusteista laaditusta graafisesta kuvauksesta ja sen sanallisesta selvityksestä ilmenee, että seurakun</w:t>
      </w:r>
      <w:r>
        <w:t>nan talouden tasapainottaminen edellyttää kiinteistöstrategian ohella myös muita toimenpiteitä.  Talouden kehitystä koskevat kuvaukset ovat liitteessä 1.</w:t>
      </w:r>
    </w:p>
    <w:p w:rsidR="00C81D05" w:rsidRDefault="00F517B1">
      <w:pPr>
        <w:pStyle w:val="Otsikko2"/>
        <w:spacing w:after="519"/>
        <w:ind w:left="795" w:right="25" w:hanging="435"/>
      </w:pPr>
      <w:bookmarkStart w:id="6" w:name="_Toc22333"/>
      <w:r>
        <w:t>Kiinteistöstrategian tavoitteet</w:t>
      </w:r>
      <w:bookmarkEnd w:id="6"/>
    </w:p>
    <w:p w:rsidR="00C81D05" w:rsidRDefault="00F517B1">
      <w:pPr>
        <w:spacing w:after="625"/>
        <w:ind w:left="2549" w:right="25"/>
      </w:pPr>
      <w:r>
        <w:rPr>
          <w:noProof/>
        </w:rPr>
        <w:drawing>
          <wp:anchor distT="0" distB="0" distL="114300" distR="114300" simplePos="0" relativeHeight="251664384"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4"/>
                    <a:stretch>
                      <a:fillRect/>
                    </a:stretch>
                  </pic:blipFill>
                  <pic:spPr>
                    <a:xfrm>
                      <a:off x="0" y="0"/>
                      <a:ext cx="2639568" cy="100571"/>
                    </a:xfrm>
                    <a:prstGeom prst="rect">
                      <a:avLst/>
                    </a:prstGeom>
                  </pic:spPr>
                </pic:pic>
              </a:graphicData>
            </a:graphic>
          </wp:anchor>
        </w:drawing>
      </w:r>
      <w:r>
        <w:t>Kiinteistöjen ja toimitilojen omistamisen tai muun hallinnoinnin tark</w:t>
      </w:r>
      <w:r>
        <w:t>oituksena on ensisijaisesti toimitilojen järjestäminen organisaation ydintehtävää, seurakunnan tekemää seurakuntatyötä varten. Keskeisenä tavoitteena strategiaa laadittaessa on kiinteistöistä aiheutuvien kustannusten hallinta: jo kaikissa edellä mainituiss</w:t>
      </w:r>
      <w:r>
        <w:t>a yhdistyneiden seurakuntien aiemmissa strategioissa on tavoitteeksi nimetty kiinteistömenojen pitäminen korkeintaan laatimisajankohdan tasolla ja tarvittaessa kiinteistömassan hallittu vähentäminen tämän tavoitteen toteuttamiseksi. Kiinteistöjen tehokkaal</w:t>
      </w:r>
      <w:r>
        <w:t>la hallinnoinnilla seurakunnan toiminnoille voidaan osoittaa tarkoituksenmukaiset, turvalliset ja terveelliset toimitilat. Lisäksi kiinteistöstrategian avulla voidaan turvata seurakunnan osake- ja liikehuoneistoihin sijoitettu pääoma ja sen tuotto.</w:t>
      </w:r>
    </w:p>
    <w:p w:rsidR="00C81D05" w:rsidRDefault="00F517B1">
      <w:pPr>
        <w:ind w:left="2549" w:right="25"/>
      </w:pPr>
      <w:r>
        <w:t>Jyväskylän kaupunkiseurakunnan ja Jyväskylän maaseurakunnan seurakuntarakenteen muuttamista koskevassa sopimuksessa todettiin, että seurakunnan toiminta pyritään sijoittamaan jo ennestään seurakunnan omistuksessa oleviin tiloihin, jolloin tavoitteena on ti</w:t>
      </w:r>
      <w:r>
        <w:t>laresurssien taloudellinen käyttö. Edelleen yhdistymissopimuksessa sovittiin, että alueseurakunnilla ja työmuodoilla on käytettävissä tasapuolisesti toimintatiloja ottaen huomioon toiminnalliset tarpeet ja asutuksen sijoittuminen.</w:t>
      </w:r>
    </w:p>
    <w:p w:rsidR="00C81D05" w:rsidRDefault="00F517B1">
      <w:pPr>
        <w:spacing w:after="501"/>
        <w:ind w:left="2549" w:right="25"/>
      </w:pPr>
      <w:r>
        <w:t>Kaikkien edellä mainittuj</w:t>
      </w:r>
      <w:r>
        <w:t>en, jo aiemmissa päätöksissä todettujen tavoitteiden toteuttamiseksi tilojen kokonaisvaltainen kartoitus ja yhtenäisten kiinteistön omistuksen, käytön ja ylläpidon strategisten periaatteiden laatiminen on välttämätöntä.</w:t>
      </w:r>
    </w:p>
    <w:p w:rsidR="00C81D05" w:rsidRDefault="00F517B1">
      <w:pPr>
        <w:spacing w:after="505"/>
        <w:ind w:left="2549" w:right="25"/>
      </w:pPr>
      <w:r>
        <w:rPr>
          <w:noProof/>
        </w:rPr>
        <w:drawing>
          <wp:anchor distT="0" distB="0" distL="114300" distR="114300" simplePos="0" relativeHeight="251665408"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5"/>
                    <a:stretch>
                      <a:fillRect/>
                    </a:stretch>
                  </pic:blipFill>
                  <pic:spPr>
                    <a:xfrm>
                      <a:off x="0" y="0"/>
                      <a:ext cx="2639568" cy="100571"/>
                    </a:xfrm>
                    <a:prstGeom prst="rect">
                      <a:avLst/>
                    </a:prstGeom>
                  </pic:spPr>
                </pic:pic>
              </a:graphicData>
            </a:graphic>
          </wp:anchor>
        </w:drawing>
      </w:r>
      <w:r>
        <w:t>Seurakunnan talouden rakenteen ja t</w:t>
      </w:r>
      <w:r>
        <w:t>oiminnan resurssien turvaaminen edellyttää, että kiinteistötoimen kulut pidetään enintään nykytasolla.  Tulevat kiinteistöjen korjausinvestoinnit tulee suunnitella ja kiinteistöt luokitella kolmeen kategoriaan, 1) niihin, joista ei ole tarkoitus luopua, 2)</w:t>
      </w:r>
      <w:r>
        <w:t xml:space="preserve"> niihin hankesuunnittelua edellyttäviin kiinteistöihin, joiden osalta käytännön toimenpiteet edellyttävät jatkovalmistelua, sekä 3) niihin, joista luopumisesta tehdään päätös ja käytännön toimenpiteisiin ryhdytään mahdollisimman pikaisesti. Säilytettävien </w:t>
      </w:r>
      <w:r>
        <w:t>kiinteistöjen tilankäyttö tulee suunnitella tehokkaasti ydintoimintaa palvelevaksi. Suunnitelman toteutumiseen tulee sitoutua pitkäjännitteisesti.</w:t>
      </w:r>
    </w:p>
    <w:p w:rsidR="00C81D05" w:rsidRDefault="00F517B1">
      <w:pPr>
        <w:spacing w:after="126"/>
        <w:ind w:left="2549" w:right="25"/>
      </w:pPr>
      <w:r>
        <w:t>Jotta talouden tasapaino ja toiminnalliset resurssit voitaisiin turvata, arvioitiin kirkkoneuvoston budjettis</w:t>
      </w:r>
      <w:r>
        <w:t>eminaarissa 23. - 24.10.2009 kiinteistöjen konkreettisen vähennystarpeen vuoteen 2020 mennessä olevan 10.000 - 15.000 kem2. Strategiaan sisältyviä valintoja ja kiinteistöjen arviointia ohjaaviksi tekijöiksi määriteltiin seuraavat:</w:t>
      </w:r>
    </w:p>
    <w:p w:rsidR="00C81D05" w:rsidRDefault="00F517B1">
      <w:pPr>
        <w:numPr>
          <w:ilvl w:val="0"/>
          <w:numId w:val="3"/>
        </w:numPr>
        <w:spacing w:after="126"/>
        <w:ind w:left="2899" w:right="25" w:hanging="360"/>
      </w:pPr>
      <w:r>
        <w:t>Kiinteistön merkitykselli</w:t>
      </w:r>
      <w:r>
        <w:t>syys ja välttämättömyys strategiselta jaydintehtävän kannalta.</w:t>
      </w:r>
    </w:p>
    <w:p w:rsidR="00C81D05" w:rsidRDefault="00F517B1">
      <w:pPr>
        <w:numPr>
          <w:ilvl w:val="1"/>
          <w:numId w:val="3"/>
        </w:numPr>
        <w:ind w:right="25" w:hanging="360"/>
      </w:pPr>
      <w:r>
        <w:t>Alueseurakuntamallin mukaisesti alueseurakunnalla onkirkko(sali) sekä seurakuntakeskus, molemmat joko yhdessä kokonaisuudessa tai kahdessa eri rakennuksessa sekä vuokratut/omat tilat välttämätt</w:t>
      </w:r>
      <w:r>
        <w:t>ömiä toimisto- ja hallintotehtäviä varten.</w:t>
      </w:r>
    </w:p>
    <w:p w:rsidR="00C81D05" w:rsidRDefault="00F517B1">
      <w:pPr>
        <w:numPr>
          <w:ilvl w:val="1"/>
          <w:numId w:val="3"/>
        </w:numPr>
        <w:spacing w:after="126"/>
        <w:ind w:right="25" w:hanging="360"/>
      </w:pPr>
      <w:r>
        <w:t>Seurakunnan ydintehtävät kyetään hoitamaan siten, et-tä kiinteistösidonnaisuutta seurakunnan työssä vähennetään ja verkostoituvaa työotetta lisätään.</w:t>
      </w:r>
    </w:p>
    <w:p w:rsidR="00C81D05" w:rsidRDefault="00F517B1">
      <w:pPr>
        <w:numPr>
          <w:ilvl w:val="0"/>
          <w:numId w:val="3"/>
        </w:numPr>
        <w:spacing w:after="131"/>
        <w:ind w:left="2899" w:right="25" w:hanging="360"/>
      </w:pPr>
      <w:r>
        <w:t>Kiinteistön asema sekä alueseurakunnan että koko seurakunnan ko</w:t>
      </w:r>
      <w:r>
        <w:t>konaisuudessa</w:t>
      </w:r>
    </w:p>
    <w:p w:rsidR="00C81D05" w:rsidRDefault="00F517B1">
      <w:pPr>
        <w:spacing w:after="126"/>
        <w:ind w:left="3600" w:right="25" w:hanging="360"/>
      </w:pPr>
      <w:r>
        <w:t>a. Huomioidaan kiinteistön käyttötarkoitus ja erityispiirteet, kiinteistön sijainti, käyttöaste ja mahdollinen korvattavuus.</w:t>
      </w:r>
    </w:p>
    <w:p w:rsidR="00C81D05" w:rsidRDefault="00F517B1">
      <w:pPr>
        <w:numPr>
          <w:ilvl w:val="0"/>
          <w:numId w:val="3"/>
        </w:numPr>
        <w:spacing w:after="225" w:line="259" w:lineRule="auto"/>
        <w:ind w:left="2899" w:right="25" w:hanging="360"/>
      </w:pPr>
      <w:r>
        <w:t>Taloudelliset tekijät</w:t>
      </w:r>
    </w:p>
    <w:p w:rsidR="00C81D05" w:rsidRDefault="00F517B1">
      <w:pPr>
        <w:spacing w:after="137"/>
        <w:ind w:left="3600" w:right="25" w:hanging="360"/>
      </w:pPr>
      <w:r>
        <w:t>a. Huomioidaan kiinteistön kunto, perus- ja muut korjaustarpeet, yhteiskäyttömahdollisuudet.</w:t>
      </w:r>
    </w:p>
    <w:p w:rsidR="00C81D05" w:rsidRDefault="00F517B1">
      <w:pPr>
        <w:pStyle w:val="Otsikko1"/>
        <w:spacing w:after="222"/>
        <w:ind w:left="345" w:hanging="360"/>
      </w:pPr>
      <w:bookmarkStart w:id="7" w:name="_Toc22334"/>
      <w:r>
        <w:t>Kiinteistöjen nykyinen tilanne</w:t>
      </w:r>
      <w:bookmarkEnd w:id="7"/>
    </w:p>
    <w:p w:rsidR="00C81D05" w:rsidRDefault="00F517B1">
      <w:pPr>
        <w:pStyle w:val="Otsikko2"/>
        <w:spacing w:after="514"/>
        <w:ind w:left="793" w:right="25" w:hanging="433"/>
      </w:pPr>
      <w:bookmarkStart w:id="8" w:name="_Toc22335"/>
      <w:r>
        <w:rPr>
          <w:noProof/>
        </w:rPr>
        <w:drawing>
          <wp:anchor distT="0" distB="0" distL="114300" distR="114300" simplePos="0" relativeHeight="251666432"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6"/>
                    <a:stretch>
                      <a:fillRect/>
                    </a:stretch>
                  </pic:blipFill>
                  <pic:spPr>
                    <a:xfrm>
                      <a:off x="0" y="0"/>
                      <a:ext cx="2639568" cy="100571"/>
                    </a:xfrm>
                    <a:prstGeom prst="rect">
                      <a:avLst/>
                    </a:prstGeom>
                  </pic:spPr>
                </pic:pic>
              </a:graphicData>
            </a:graphic>
          </wp:anchor>
        </w:drawing>
      </w:r>
      <w:r>
        <w:t>Kiinteistöjen nykyinen tilanne</w:t>
      </w:r>
      <w:bookmarkEnd w:id="8"/>
    </w:p>
    <w:p w:rsidR="00C81D05" w:rsidRDefault="00F517B1">
      <w:pPr>
        <w:spacing w:after="385"/>
        <w:ind w:left="2549" w:right="25"/>
      </w:pPr>
      <w:r>
        <w:t>Kiinteistönpitoon budjetoitavat määrärahat kamppailevat samoista euroista, joilla rahoitetaan seurakunnan toimintaa ja henkilöstömenoja.</w:t>
      </w:r>
    </w:p>
    <w:p w:rsidR="00C81D05" w:rsidRDefault="00F517B1">
      <w:pPr>
        <w:spacing w:after="385"/>
        <w:ind w:left="2549" w:right="25"/>
      </w:pPr>
      <w:r>
        <w:t>Jyväskylän seurakunnan kiinteistöjen nykytilanne ja ennusteet tulevien vuosien talouden kehittymisestä ovat ajaneet seurakunnan tilaan, jossa on nähtävillä, että nykyiset ja tulevat kiinteistöjen ylläpito ja korjauksiin käytettävissä olevat määrärahat eivä</w:t>
      </w:r>
      <w:r>
        <w:t>t tule riittämään tämän hetkisen kiinteistömassan säilyttämiseen.</w:t>
      </w:r>
    </w:p>
    <w:p w:rsidR="00C81D05" w:rsidRDefault="00F517B1">
      <w:pPr>
        <w:spacing w:after="8"/>
        <w:ind w:left="2549" w:right="25"/>
      </w:pPr>
      <w:r>
        <w:t>Jyväskylän seurakunta on päättänyt valita strategiakseen harkitun kiinteistöistä luopumisen ja säilytettävien omistuskiinteistöjen peruskorjauksista huolehtimisen. Linjauksen mukaan seurakun</w:t>
      </w:r>
      <w:r>
        <w:t>ta tulee luopumaan kymmenen vuoden strategiakaudella noin 10 000 –</w:t>
      </w:r>
    </w:p>
    <w:p w:rsidR="00C81D05" w:rsidRDefault="00F517B1">
      <w:pPr>
        <w:spacing w:line="259" w:lineRule="auto"/>
        <w:ind w:left="2549" w:right="25"/>
      </w:pPr>
      <w:r>
        <w:t>15 000 kem2 suuruisesta kiinteistömassasta. Luopumistarpeessa</w:t>
      </w:r>
    </w:p>
    <w:p w:rsidR="00C81D05" w:rsidRDefault="00F517B1">
      <w:pPr>
        <w:spacing w:after="385"/>
        <w:ind w:left="2549" w:right="25"/>
      </w:pPr>
      <w:r>
        <w:t>ei ole mukana ennen strategian hyväksymistä tehtyjä vähennyksiä. Kiinteistöjen myynneistä saatavat tulot tullaan kohdistamaan s</w:t>
      </w:r>
      <w:r>
        <w:t>äilytettävien kiinteistöjen peruskorjauskustannusten kattamiseen.</w:t>
      </w:r>
    </w:p>
    <w:p w:rsidR="00C81D05" w:rsidRDefault="00F517B1">
      <w:pPr>
        <w:spacing w:after="952"/>
        <w:ind w:left="2549" w:right="25"/>
      </w:pPr>
      <w:r>
        <w:t>Toimitilojen osalta seurakunnalla on nykyisin käytössään omistamiensa tilojen lisäksi vuokratiloja. Vuokratiloissa kokoontuvat lähinnä päivä- ja perhekerhot. Omistustilojen käyttöasteiden on</w:t>
      </w:r>
      <w:r>
        <w:t xml:space="preserve"> todettu olevan alhainen. Tilojen käytön painopiste on kerho- ja harrastetiloissa. Seurakunnan säilytettävien omistuskiinteistöjen käyttöä tullaan strategiakaudella tehostamaan.</w:t>
      </w:r>
    </w:p>
    <w:p w:rsidR="00C81D05" w:rsidRDefault="00F517B1">
      <w:pPr>
        <w:pStyle w:val="Otsikko2"/>
        <w:spacing w:after="514"/>
        <w:ind w:left="794" w:right="25" w:hanging="434"/>
      </w:pPr>
      <w:bookmarkStart w:id="9" w:name="_Toc22336"/>
      <w:r>
        <w:t>Korjaus- ja ylläpitokustannusten kehitysarvio strategiakaudella</w:t>
      </w:r>
      <w:bookmarkEnd w:id="9"/>
    </w:p>
    <w:p w:rsidR="00C81D05" w:rsidRDefault="00F517B1">
      <w:pPr>
        <w:spacing w:after="505"/>
        <w:ind w:left="2549" w:right="25"/>
      </w:pPr>
      <w:r>
        <w:rPr>
          <w:noProof/>
        </w:rPr>
        <w:drawing>
          <wp:anchor distT="0" distB="0" distL="114300" distR="114300" simplePos="0" relativeHeight="251667456"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7"/>
                    <a:stretch>
                      <a:fillRect/>
                    </a:stretch>
                  </pic:blipFill>
                  <pic:spPr>
                    <a:xfrm>
                      <a:off x="0" y="0"/>
                      <a:ext cx="2639568" cy="100571"/>
                    </a:xfrm>
                    <a:prstGeom prst="rect">
                      <a:avLst/>
                    </a:prstGeom>
                  </pic:spPr>
                </pic:pic>
              </a:graphicData>
            </a:graphic>
          </wp:anchor>
        </w:drawing>
      </w:r>
      <w:r>
        <w:t xml:space="preserve">Ulkopuolisen </w:t>
      </w:r>
      <w:r>
        <w:t>asiantuntijan Jyväskylän seurakunnalle maalis syyskuussa laatiman kiinteistöselvityksen mukaan Jyväskylän seurakunnalla on omistuksessaan merkittävä, noin 43 000 kem2, kiinteistöomaisuus. Selvityksessä esitetty, nykyisen kiinteistömassan vaatima noin 40 M€</w:t>
      </w:r>
      <w:r>
        <w:t xml:space="preserve"> (sis. alv) korjausinvestointitarve on kaksinkertainen seurakunnan investointimahdollisuuksiin nähden.</w:t>
      </w:r>
    </w:p>
    <w:p w:rsidR="00C81D05" w:rsidRDefault="00F517B1">
      <w:pPr>
        <w:ind w:left="2549" w:right="25"/>
      </w:pPr>
      <w:r>
        <w:t>Korjausinvestointitarpeiden lisäksi kiinteistötoimen kuluja nostaa keskimääräinen kiinteistöjen käyttö- ja ylläpitokustannusten nousu, joka on keskimääri</w:t>
      </w:r>
      <w:r>
        <w:t>n noin 5 % vuodessa. Jyväskylän seurakunnan kiinteistöjen käyttö- ja ylläpitokustannuksissa 5 % merkitsee noin 230 000 euron vuotuista korotusta nykyisellä kiinteistömassalla. Ylläpidon vaatima resurssi kasvattaisi kiinteistötoimen menoja nykyisellä kiinte</w:t>
      </w:r>
      <w:r>
        <w:t>istömassalla lähes 1,0 M€ neljässä vuodessa ilman voimakkaita toimenpiteitä.</w:t>
      </w:r>
    </w:p>
    <w:p w:rsidR="00C81D05" w:rsidRDefault="00F517B1">
      <w:pPr>
        <w:spacing w:after="13"/>
        <w:ind w:left="2549" w:right="25"/>
      </w:pPr>
      <w:r>
        <w:t>Alla olevassa kuvassa on esitetty kiinteistötoimen peruskorjausinvestointien ja ylläpitokustannuksien kehitystä kuvaava arvio, kun kiinteistömassaa vähennetään strategiakaudella etupainotteisesti strategian linjauksen mukaisesti vähintään</w:t>
      </w:r>
    </w:p>
    <w:p w:rsidR="00C81D05" w:rsidRDefault="00F517B1">
      <w:pPr>
        <w:spacing w:after="433"/>
        <w:ind w:left="2549" w:right="25"/>
      </w:pPr>
      <w:r>
        <w:t>13 000 kem2. Olem</w:t>
      </w:r>
      <w:r>
        <w:t>assa olevaa kiinteistömassaa vähentäen ja vajaakäyttöisistä ja – kuntoisista tiloista luopumalla on mahdollista saada kiinteistötoimen kulut pysymään lähes nykytasolla.</w:t>
      </w:r>
    </w:p>
    <w:p w:rsidR="00C81D05" w:rsidRDefault="00F517B1">
      <w:pPr>
        <w:spacing w:after="36" w:line="259" w:lineRule="auto"/>
        <w:ind w:left="747" w:firstLine="0"/>
        <w:jc w:val="center"/>
      </w:pPr>
      <w:r>
        <w:rPr>
          <w:noProof/>
        </w:rPr>
        <w:drawing>
          <wp:anchor distT="0" distB="0" distL="114300" distR="114300" simplePos="0" relativeHeight="25166848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18"/>
                    <a:stretch>
                      <a:fillRect/>
                    </a:stretch>
                  </pic:blipFill>
                  <pic:spPr>
                    <a:xfrm>
                      <a:off x="0" y="0"/>
                      <a:ext cx="2639568" cy="100571"/>
                    </a:xfrm>
                    <a:prstGeom prst="rect">
                      <a:avLst/>
                    </a:prstGeom>
                  </pic:spPr>
                </pic:pic>
              </a:graphicData>
            </a:graphic>
          </wp:anchor>
        </w:drawing>
      </w:r>
      <w:r>
        <w:rPr>
          <w:b/>
          <w:sz w:val="14"/>
        </w:rPr>
        <w:t>Kiinteistöjen ylläpidon ja peruskorjausten kustannuskehitys  2010 - 2020</w:t>
      </w:r>
    </w:p>
    <w:tbl>
      <w:tblPr>
        <w:tblStyle w:val="TableGrid"/>
        <w:tblW w:w="6595" w:type="dxa"/>
        <w:tblInd w:w="2563" w:type="dxa"/>
        <w:tblCellMar>
          <w:top w:w="21" w:type="dxa"/>
          <w:left w:w="18" w:type="dxa"/>
          <w:bottom w:w="20" w:type="dxa"/>
          <w:right w:w="20" w:type="dxa"/>
        </w:tblCellMar>
        <w:tblLook w:val="04A0" w:firstRow="1" w:lastRow="0" w:firstColumn="1" w:lastColumn="0" w:noHBand="0" w:noVBand="1"/>
      </w:tblPr>
      <w:tblGrid>
        <w:gridCol w:w="621"/>
        <w:gridCol w:w="715"/>
        <w:gridCol w:w="1025"/>
        <w:gridCol w:w="1164"/>
        <w:gridCol w:w="1003"/>
        <w:gridCol w:w="1104"/>
        <w:gridCol w:w="963"/>
      </w:tblGrid>
      <w:tr w:rsidR="00C81D05">
        <w:trPr>
          <w:trHeight w:val="514"/>
        </w:trPr>
        <w:tc>
          <w:tcPr>
            <w:tcW w:w="621" w:type="dxa"/>
            <w:tcBorders>
              <w:top w:val="single" w:sz="10" w:space="0" w:color="000000"/>
              <w:left w:val="single" w:sz="8" w:space="0" w:color="000000"/>
              <w:bottom w:val="single" w:sz="10" w:space="0" w:color="000000"/>
              <w:right w:val="single" w:sz="6" w:space="0" w:color="000000"/>
            </w:tcBorders>
            <w:vAlign w:val="bottom"/>
          </w:tcPr>
          <w:p w:rsidR="00C81D05" w:rsidRDefault="00F517B1">
            <w:pPr>
              <w:spacing w:after="0" w:line="259" w:lineRule="auto"/>
              <w:ind w:left="1" w:firstLine="0"/>
              <w:jc w:val="left"/>
            </w:pPr>
            <w:r>
              <w:rPr>
                <w:b/>
                <w:sz w:val="12"/>
              </w:rPr>
              <w:t>Vuosi</w:t>
            </w:r>
          </w:p>
        </w:tc>
        <w:tc>
          <w:tcPr>
            <w:tcW w:w="715" w:type="dxa"/>
            <w:tcBorders>
              <w:top w:val="single" w:sz="10" w:space="0" w:color="000000"/>
              <w:left w:val="single" w:sz="6" w:space="0" w:color="000000"/>
              <w:bottom w:val="single" w:sz="10" w:space="0" w:color="000000"/>
              <w:right w:val="single" w:sz="6" w:space="0" w:color="000000"/>
            </w:tcBorders>
          </w:tcPr>
          <w:p w:rsidR="00C81D05" w:rsidRDefault="00F517B1">
            <w:pPr>
              <w:spacing w:after="0" w:line="259" w:lineRule="auto"/>
              <w:ind w:left="8" w:firstLine="0"/>
              <w:jc w:val="left"/>
            </w:pPr>
            <w:r>
              <w:rPr>
                <w:b/>
                <w:sz w:val="12"/>
              </w:rPr>
              <w:t xml:space="preserve">Massan </w:t>
            </w:r>
            <w:r>
              <w:rPr>
                <w:b/>
                <w:sz w:val="12"/>
              </w:rPr>
              <w:t>vähennys/v uosi kem2</w:t>
            </w:r>
          </w:p>
        </w:tc>
        <w:tc>
          <w:tcPr>
            <w:tcW w:w="1025" w:type="dxa"/>
            <w:tcBorders>
              <w:top w:val="single" w:sz="10" w:space="0" w:color="000000"/>
              <w:left w:val="single" w:sz="6" w:space="0" w:color="000000"/>
              <w:bottom w:val="single" w:sz="10" w:space="0" w:color="000000"/>
              <w:right w:val="single" w:sz="7" w:space="0" w:color="000000"/>
            </w:tcBorders>
            <w:vAlign w:val="bottom"/>
          </w:tcPr>
          <w:p w:rsidR="00C81D05" w:rsidRDefault="00F517B1">
            <w:pPr>
              <w:spacing w:after="0" w:line="259" w:lineRule="auto"/>
              <w:ind w:left="7" w:firstLine="0"/>
            </w:pPr>
            <w:r>
              <w:rPr>
                <w:b/>
                <w:sz w:val="12"/>
              </w:rPr>
              <w:t>Kiinteistömassa</w:t>
            </w:r>
          </w:p>
        </w:tc>
        <w:tc>
          <w:tcPr>
            <w:tcW w:w="1164" w:type="dxa"/>
            <w:tcBorders>
              <w:top w:val="single" w:sz="10" w:space="0" w:color="000000"/>
              <w:left w:val="single" w:sz="7" w:space="0" w:color="000000"/>
              <w:bottom w:val="single" w:sz="10" w:space="0" w:color="000000"/>
              <w:right w:val="single" w:sz="6" w:space="0" w:color="000000"/>
            </w:tcBorders>
            <w:vAlign w:val="bottom"/>
          </w:tcPr>
          <w:p w:rsidR="00C81D05" w:rsidRDefault="00F517B1">
            <w:pPr>
              <w:spacing w:after="0" w:line="259" w:lineRule="auto"/>
              <w:ind w:left="5" w:firstLine="0"/>
              <w:jc w:val="left"/>
            </w:pPr>
            <w:r>
              <w:rPr>
                <w:b/>
                <w:sz w:val="12"/>
              </w:rPr>
              <w:t>Ylläpitokustannus arvio/kem2 +5 %</w:t>
            </w:r>
          </w:p>
        </w:tc>
        <w:tc>
          <w:tcPr>
            <w:tcW w:w="1003" w:type="dxa"/>
            <w:tcBorders>
              <w:top w:val="single" w:sz="10" w:space="0" w:color="000000"/>
              <w:left w:val="single" w:sz="6" w:space="0" w:color="000000"/>
              <w:bottom w:val="single" w:sz="10" w:space="0" w:color="000000"/>
              <w:right w:val="single" w:sz="5" w:space="0" w:color="000000"/>
            </w:tcBorders>
          </w:tcPr>
          <w:p w:rsidR="00C81D05" w:rsidRDefault="00F517B1">
            <w:pPr>
              <w:spacing w:after="0" w:line="259" w:lineRule="auto"/>
              <w:ind w:left="7" w:firstLine="0"/>
              <w:jc w:val="left"/>
            </w:pPr>
            <w:r>
              <w:rPr>
                <w:b/>
                <w:sz w:val="12"/>
              </w:rPr>
              <w:t>Investointitarve arvio/kem2 +3,3%</w:t>
            </w:r>
          </w:p>
        </w:tc>
        <w:tc>
          <w:tcPr>
            <w:tcW w:w="1104" w:type="dxa"/>
            <w:tcBorders>
              <w:top w:val="single" w:sz="10" w:space="0" w:color="000000"/>
              <w:left w:val="single" w:sz="5" w:space="0" w:color="000000"/>
              <w:bottom w:val="single" w:sz="10" w:space="0" w:color="000000"/>
              <w:right w:val="single" w:sz="5" w:space="0" w:color="000000"/>
            </w:tcBorders>
            <w:vAlign w:val="bottom"/>
          </w:tcPr>
          <w:p w:rsidR="00C81D05" w:rsidRDefault="00F517B1">
            <w:pPr>
              <w:spacing w:after="0" w:line="259" w:lineRule="auto"/>
              <w:ind w:left="7" w:firstLine="0"/>
              <w:jc w:val="left"/>
            </w:pPr>
            <w:r>
              <w:rPr>
                <w:b/>
                <w:sz w:val="12"/>
              </w:rPr>
              <w:t>Ylläpito / vuosi *)</w:t>
            </w:r>
          </w:p>
        </w:tc>
        <w:tc>
          <w:tcPr>
            <w:tcW w:w="963" w:type="dxa"/>
            <w:tcBorders>
              <w:top w:val="single" w:sz="10" w:space="0" w:color="000000"/>
              <w:left w:val="single" w:sz="5" w:space="0" w:color="000000"/>
              <w:bottom w:val="single" w:sz="10" w:space="0" w:color="000000"/>
              <w:right w:val="single" w:sz="8" w:space="0" w:color="000000"/>
            </w:tcBorders>
          </w:tcPr>
          <w:p w:rsidR="00C81D05" w:rsidRDefault="00F517B1">
            <w:pPr>
              <w:spacing w:after="0" w:line="259" w:lineRule="auto"/>
              <w:ind w:left="8" w:firstLine="0"/>
              <w:jc w:val="left"/>
            </w:pPr>
            <w:r>
              <w:rPr>
                <w:b/>
                <w:sz w:val="12"/>
              </w:rPr>
              <w:t>Peruskorjaus keskimäärin / vuosi</w:t>
            </w:r>
          </w:p>
        </w:tc>
      </w:tr>
      <w:tr w:rsidR="00C81D05">
        <w:trPr>
          <w:trHeight w:val="2146"/>
        </w:trPr>
        <w:tc>
          <w:tcPr>
            <w:tcW w:w="621" w:type="dxa"/>
            <w:tcBorders>
              <w:top w:val="single" w:sz="10" w:space="0" w:color="000000"/>
              <w:left w:val="single" w:sz="8" w:space="0" w:color="000000"/>
              <w:bottom w:val="single" w:sz="10" w:space="0" w:color="000000"/>
              <w:right w:val="single" w:sz="6" w:space="0" w:color="000000"/>
            </w:tcBorders>
          </w:tcPr>
          <w:p w:rsidR="00C81D05" w:rsidRDefault="00F517B1">
            <w:pPr>
              <w:spacing w:after="31" w:line="259" w:lineRule="auto"/>
              <w:ind w:left="308" w:firstLine="0"/>
              <w:jc w:val="left"/>
            </w:pPr>
            <w:r>
              <w:rPr>
                <w:b/>
                <w:sz w:val="12"/>
              </w:rPr>
              <w:t>2010</w:t>
            </w:r>
          </w:p>
          <w:p w:rsidR="00C81D05" w:rsidRDefault="00F517B1">
            <w:pPr>
              <w:spacing w:after="26" w:line="259" w:lineRule="auto"/>
              <w:ind w:left="308" w:firstLine="0"/>
              <w:jc w:val="left"/>
            </w:pPr>
            <w:r>
              <w:rPr>
                <w:b/>
                <w:sz w:val="12"/>
              </w:rPr>
              <w:t>2011</w:t>
            </w:r>
          </w:p>
          <w:p w:rsidR="00C81D05" w:rsidRDefault="00F517B1">
            <w:pPr>
              <w:spacing w:after="26" w:line="259" w:lineRule="auto"/>
              <w:ind w:left="308" w:firstLine="0"/>
              <w:jc w:val="left"/>
            </w:pPr>
            <w:r>
              <w:rPr>
                <w:b/>
                <w:sz w:val="12"/>
              </w:rPr>
              <w:t>2012</w:t>
            </w:r>
          </w:p>
          <w:p w:rsidR="00C81D05" w:rsidRDefault="00F517B1">
            <w:pPr>
              <w:spacing w:after="26" w:line="259" w:lineRule="auto"/>
              <w:ind w:left="308" w:firstLine="0"/>
              <w:jc w:val="left"/>
            </w:pPr>
            <w:r>
              <w:rPr>
                <w:b/>
                <w:sz w:val="12"/>
              </w:rPr>
              <w:t>2013</w:t>
            </w:r>
          </w:p>
          <w:p w:rsidR="00C81D05" w:rsidRDefault="00F517B1">
            <w:pPr>
              <w:spacing w:after="26" w:line="259" w:lineRule="auto"/>
              <w:ind w:left="308" w:firstLine="0"/>
              <w:jc w:val="left"/>
            </w:pPr>
            <w:r>
              <w:rPr>
                <w:b/>
                <w:sz w:val="12"/>
              </w:rPr>
              <w:t>2014</w:t>
            </w:r>
          </w:p>
          <w:p w:rsidR="00C81D05" w:rsidRDefault="00F517B1">
            <w:pPr>
              <w:spacing w:after="26" w:line="259" w:lineRule="auto"/>
              <w:ind w:left="308" w:firstLine="0"/>
              <w:jc w:val="left"/>
            </w:pPr>
            <w:r>
              <w:rPr>
                <w:b/>
                <w:sz w:val="12"/>
              </w:rPr>
              <w:t>2015</w:t>
            </w:r>
          </w:p>
          <w:p w:rsidR="00C81D05" w:rsidRDefault="00F517B1">
            <w:pPr>
              <w:spacing w:after="26" w:line="259" w:lineRule="auto"/>
              <w:ind w:left="308" w:firstLine="0"/>
              <w:jc w:val="left"/>
            </w:pPr>
            <w:r>
              <w:rPr>
                <w:b/>
                <w:sz w:val="12"/>
              </w:rPr>
              <w:t>2016</w:t>
            </w:r>
          </w:p>
          <w:p w:rsidR="00C81D05" w:rsidRDefault="00F517B1">
            <w:pPr>
              <w:spacing w:after="26" w:line="259" w:lineRule="auto"/>
              <w:ind w:left="307" w:firstLine="0"/>
              <w:jc w:val="left"/>
            </w:pPr>
            <w:r>
              <w:rPr>
                <w:b/>
                <w:sz w:val="12"/>
              </w:rPr>
              <w:t>2017</w:t>
            </w:r>
          </w:p>
          <w:p w:rsidR="00C81D05" w:rsidRDefault="00F517B1">
            <w:pPr>
              <w:spacing w:after="31" w:line="259" w:lineRule="auto"/>
              <w:ind w:left="307" w:firstLine="0"/>
              <w:jc w:val="left"/>
            </w:pPr>
            <w:r>
              <w:rPr>
                <w:b/>
                <w:sz w:val="12"/>
              </w:rPr>
              <w:t>2018</w:t>
            </w:r>
          </w:p>
          <w:p w:rsidR="00C81D05" w:rsidRDefault="00F517B1">
            <w:pPr>
              <w:spacing w:after="26" w:line="259" w:lineRule="auto"/>
              <w:ind w:left="307" w:firstLine="0"/>
              <w:jc w:val="left"/>
            </w:pPr>
            <w:r>
              <w:rPr>
                <w:b/>
                <w:sz w:val="12"/>
              </w:rPr>
              <w:t>2019</w:t>
            </w:r>
          </w:p>
          <w:p w:rsidR="00C81D05" w:rsidRDefault="00F517B1">
            <w:pPr>
              <w:spacing w:after="0" w:line="259" w:lineRule="auto"/>
              <w:ind w:left="0" w:firstLine="307"/>
            </w:pPr>
            <w:r>
              <w:rPr>
                <w:b/>
                <w:sz w:val="12"/>
              </w:rPr>
              <w:t>2020 YHT.</w:t>
            </w:r>
          </w:p>
        </w:tc>
        <w:tc>
          <w:tcPr>
            <w:tcW w:w="715" w:type="dxa"/>
            <w:tcBorders>
              <w:top w:val="single" w:sz="10" w:space="0" w:color="000000"/>
              <w:left w:val="single" w:sz="6" w:space="0" w:color="000000"/>
              <w:bottom w:val="single" w:sz="10" w:space="0" w:color="000000"/>
              <w:right w:val="single" w:sz="6" w:space="0" w:color="000000"/>
            </w:tcBorders>
          </w:tcPr>
          <w:p w:rsidR="00C81D05" w:rsidRDefault="00F517B1">
            <w:pPr>
              <w:numPr>
                <w:ilvl w:val="0"/>
                <w:numId w:val="6"/>
              </w:numPr>
              <w:spacing w:after="31" w:line="259" w:lineRule="auto"/>
              <w:ind w:left="182" w:hanging="101"/>
              <w:jc w:val="center"/>
            </w:pPr>
            <w:r>
              <w:rPr>
                <w:b/>
                <w:sz w:val="12"/>
              </w:rPr>
              <w:t>200</w:t>
            </w:r>
          </w:p>
          <w:p w:rsidR="00C81D05" w:rsidRDefault="00F517B1">
            <w:pPr>
              <w:numPr>
                <w:ilvl w:val="0"/>
                <w:numId w:val="6"/>
              </w:numPr>
              <w:spacing w:after="26" w:line="259" w:lineRule="auto"/>
              <w:ind w:left="182" w:hanging="101"/>
              <w:jc w:val="center"/>
            </w:pPr>
            <w:r>
              <w:rPr>
                <w:b/>
                <w:sz w:val="12"/>
              </w:rPr>
              <w:t>400</w:t>
            </w:r>
          </w:p>
          <w:p w:rsidR="00C81D05" w:rsidRDefault="00F517B1">
            <w:pPr>
              <w:spacing w:after="26" w:line="259" w:lineRule="auto"/>
              <w:ind w:left="80" w:firstLine="0"/>
              <w:jc w:val="center"/>
            </w:pPr>
            <w:r>
              <w:rPr>
                <w:b/>
                <w:sz w:val="12"/>
              </w:rPr>
              <w:t>2 400</w:t>
            </w:r>
          </w:p>
          <w:p w:rsidR="00C81D05" w:rsidRDefault="00F517B1">
            <w:pPr>
              <w:spacing w:after="26" w:line="259" w:lineRule="auto"/>
              <w:ind w:left="80" w:firstLine="0"/>
              <w:jc w:val="center"/>
            </w:pPr>
            <w:r>
              <w:rPr>
                <w:b/>
                <w:sz w:val="12"/>
              </w:rPr>
              <w:t>2 400</w:t>
            </w:r>
          </w:p>
          <w:p w:rsidR="00C81D05" w:rsidRDefault="00F517B1">
            <w:pPr>
              <w:spacing w:after="26" w:line="259" w:lineRule="auto"/>
              <w:ind w:left="80" w:firstLine="0"/>
              <w:jc w:val="center"/>
            </w:pPr>
            <w:r>
              <w:rPr>
                <w:b/>
                <w:sz w:val="12"/>
              </w:rPr>
              <w:t>2 400</w:t>
            </w:r>
          </w:p>
          <w:p w:rsidR="00C81D05" w:rsidRDefault="00F517B1">
            <w:pPr>
              <w:spacing w:after="26" w:line="259" w:lineRule="auto"/>
              <w:ind w:left="80" w:firstLine="0"/>
              <w:jc w:val="center"/>
            </w:pPr>
            <w:r>
              <w:rPr>
                <w:b/>
                <w:sz w:val="12"/>
              </w:rPr>
              <w:t>1 200</w:t>
            </w:r>
          </w:p>
          <w:p w:rsidR="00C81D05" w:rsidRDefault="00F517B1">
            <w:pPr>
              <w:spacing w:after="26" w:line="259" w:lineRule="auto"/>
              <w:ind w:left="79" w:firstLine="0"/>
              <w:jc w:val="center"/>
            </w:pPr>
            <w:r>
              <w:rPr>
                <w:b/>
                <w:sz w:val="12"/>
              </w:rPr>
              <w:t>1 000</w:t>
            </w:r>
          </w:p>
          <w:p w:rsidR="00C81D05" w:rsidRDefault="00F517B1">
            <w:pPr>
              <w:spacing w:after="26" w:line="259" w:lineRule="auto"/>
              <w:ind w:left="71" w:firstLine="0"/>
              <w:jc w:val="center"/>
            </w:pPr>
            <w:r>
              <w:rPr>
                <w:b/>
                <w:sz w:val="12"/>
              </w:rPr>
              <w:t>-</w:t>
            </w:r>
          </w:p>
          <w:p w:rsidR="00C81D05" w:rsidRDefault="00F517B1">
            <w:pPr>
              <w:spacing w:after="31" w:line="259" w:lineRule="auto"/>
              <w:ind w:left="71" w:firstLine="0"/>
              <w:jc w:val="center"/>
            </w:pPr>
            <w:r>
              <w:rPr>
                <w:b/>
                <w:sz w:val="12"/>
              </w:rPr>
              <w:t>-</w:t>
            </w:r>
          </w:p>
          <w:p w:rsidR="00C81D05" w:rsidRDefault="00F517B1">
            <w:pPr>
              <w:spacing w:after="26" w:line="259" w:lineRule="auto"/>
              <w:ind w:left="71" w:firstLine="0"/>
              <w:jc w:val="center"/>
            </w:pPr>
            <w:r>
              <w:rPr>
                <w:b/>
                <w:sz w:val="12"/>
              </w:rPr>
              <w:t>-</w:t>
            </w:r>
          </w:p>
          <w:p w:rsidR="00C81D05" w:rsidRDefault="00F517B1">
            <w:pPr>
              <w:spacing w:after="21" w:line="259" w:lineRule="auto"/>
              <w:ind w:left="71" w:firstLine="0"/>
              <w:jc w:val="center"/>
            </w:pPr>
            <w:r>
              <w:rPr>
                <w:b/>
                <w:sz w:val="12"/>
              </w:rPr>
              <w:t>-</w:t>
            </w:r>
          </w:p>
          <w:p w:rsidR="00C81D05" w:rsidRDefault="00F517B1">
            <w:pPr>
              <w:spacing w:after="0" w:line="259" w:lineRule="auto"/>
              <w:ind w:left="11" w:firstLine="0"/>
              <w:jc w:val="center"/>
            </w:pPr>
            <w:r>
              <w:rPr>
                <w:b/>
                <w:sz w:val="12"/>
              </w:rPr>
              <w:t>13 000</w:t>
            </w:r>
          </w:p>
        </w:tc>
        <w:tc>
          <w:tcPr>
            <w:tcW w:w="1025" w:type="dxa"/>
            <w:tcBorders>
              <w:top w:val="single" w:sz="10" w:space="0" w:color="000000"/>
              <w:left w:val="single" w:sz="6" w:space="0" w:color="000000"/>
              <w:bottom w:val="single" w:sz="10" w:space="0" w:color="000000"/>
              <w:right w:val="single" w:sz="7" w:space="0" w:color="000000"/>
            </w:tcBorders>
          </w:tcPr>
          <w:p w:rsidR="00C81D05" w:rsidRDefault="00F517B1">
            <w:pPr>
              <w:spacing w:after="31" w:line="259" w:lineRule="auto"/>
              <w:ind w:left="465" w:firstLine="0"/>
              <w:jc w:val="left"/>
            </w:pPr>
            <w:r>
              <w:rPr>
                <w:b/>
                <w:sz w:val="12"/>
              </w:rPr>
              <w:t>42 100</w:t>
            </w:r>
          </w:p>
          <w:p w:rsidR="00C81D05" w:rsidRDefault="00F517B1">
            <w:pPr>
              <w:spacing w:after="26" w:line="259" w:lineRule="auto"/>
              <w:ind w:left="465" w:firstLine="0"/>
              <w:jc w:val="left"/>
            </w:pPr>
            <w:r>
              <w:rPr>
                <w:b/>
                <w:sz w:val="12"/>
              </w:rPr>
              <w:t>39 700</w:t>
            </w:r>
          </w:p>
          <w:p w:rsidR="00C81D05" w:rsidRDefault="00F517B1">
            <w:pPr>
              <w:spacing w:after="26" w:line="259" w:lineRule="auto"/>
              <w:ind w:left="464" w:firstLine="0"/>
              <w:jc w:val="left"/>
            </w:pPr>
            <w:r>
              <w:rPr>
                <w:b/>
                <w:sz w:val="12"/>
              </w:rPr>
              <w:t>37 300</w:t>
            </w:r>
          </w:p>
          <w:p w:rsidR="00C81D05" w:rsidRDefault="00F517B1">
            <w:pPr>
              <w:spacing w:after="26" w:line="259" w:lineRule="auto"/>
              <w:ind w:left="464" w:firstLine="0"/>
              <w:jc w:val="left"/>
            </w:pPr>
            <w:r>
              <w:rPr>
                <w:b/>
                <w:sz w:val="12"/>
              </w:rPr>
              <w:t>34 900</w:t>
            </w:r>
          </w:p>
          <w:p w:rsidR="00C81D05" w:rsidRDefault="00F517B1">
            <w:pPr>
              <w:spacing w:after="26" w:line="259" w:lineRule="auto"/>
              <w:ind w:left="464" w:firstLine="0"/>
              <w:jc w:val="left"/>
            </w:pPr>
            <w:r>
              <w:rPr>
                <w:b/>
                <w:sz w:val="12"/>
              </w:rPr>
              <w:t>32 500</w:t>
            </w:r>
          </w:p>
          <w:p w:rsidR="00C81D05" w:rsidRDefault="00F517B1">
            <w:pPr>
              <w:spacing w:after="26" w:line="259" w:lineRule="auto"/>
              <w:ind w:left="464" w:firstLine="0"/>
              <w:jc w:val="left"/>
            </w:pPr>
            <w:r>
              <w:rPr>
                <w:b/>
                <w:sz w:val="12"/>
              </w:rPr>
              <w:t>31 300</w:t>
            </w:r>
          </w:p>
          <w:p w:rsidR="00C81D05" w:rsidRDefault="00F517B1">
            <w:pPr>
              <w:spacing w:after="26" w:line="259" w:lineRule="auto"/>
              <w:ind w:left="464" w:firstLine="0"/>
              <w:jc w:val="left"/>
            </w:pPr>
            <w:r>
              <w:rPr>
                <w:b/>
                <w:sz w:val="12"/>
              </w:rPr>
              <w:t>30 300</w:t>
            </w:r>
          </w:p>
          <w:p w:rsidR="00C81D05" w:rsidRDefault="00F517B1">
            <w:pPr>
              <w:spacing w:after="26" w:line="259" w:lineRule="auto"/>
              <w:ind w:left="464" w:firstLine="0"/>
              <w:jc w:val="left"/>
            </w:pPr>
            <w:r>
              <w:rPr>
                <w:b/>
                <w:sz w:val="12"/>
              </w:rPr>
              <w:t>30 300</w:t>
            </w:r>
          </w:p>
          <w:p w:rsidR="00C81D05" w:rsidRDefault="00F517B1">
            <w:pPr>
              <w:spacing w:after="31" w:line="259" w:lineRule="auto"/>
              <w:ind w:left="464" w:firstLine="0"/>
              <w:jc w:val="left"/>
            </w:pPr>
            <w:r>
              <w:rPr>
                <w:b/>
                <w:sz w:val="12"/>
              </w:rPr>
              <w:t>30 300</w:t>
            </w:r>
          </w:p>
          <w:p w:rsidR="00C81D05" w:rsidRDefault="00F517B1">
            <w:pPr>
              <w:spacing w:after="26" w:line="259" w:lineRule="auto"/>
              <w:ind w:left="464" w:firstLine="0"/>
              <w:jc w:val="left"/>
            </w:pPr>
            <w:r>
              <w:rPr>
                <w:b/>
                <w:sz w:val="12"/>
              </w:rPr>
              <w:t>30 300</w:t>
            </w:r>
          </w:p>
          <w:p w:rsidR="00C81D05" w:rsidRDefault="00F517B1">
            <w:pPr>
              <w:spacing w:after="0" w:line="259" w:lineRule="auto"/>
              <w:ind w:left="464" w:firstLine="0"/>
              <w:jc w:val="left"/>
            </w:pPr>
            <w:r>
              <w:rPr>
                <w:b/>
                <w:sz w:val="12"/>
              </w:rPr>
              <w:t>30 300</w:t>
            </w:r>
          </w:p>
        </w:tc>
        <w:tc>
          <w:tcPr>
            <w:tcW w:w="1164" w:type="dxa"/>
            <w:tcBorders>
              <w:top w:val="single" w:sz="10" w:space="0" w:color="000000"/>
              <w:left w:val="single" w:sz="7" w:space="0" w:color="000000"/>
              <w:bottom w:val="single" w:sz="10" w:space="0" w:color="000000"/>
              <w:right w:val="single" w:sz="6" w:space="0" w:color="000000"/>
            </w:tcBorders>
          </w:tcPr>
          <w:p w:rsidR="00C81D05" w:rsidRDefault="00F517B1">
            <w:pPr>
              <w:spacing w:after="31" w:line="259" w:lineRule="auto"/>
              <w:ind w:left="774" w:firstLine="0"/>
              <w:jc w:val="left"/>
            </w:pPr>
            <w:r>
              <w:rPr>
                <w:b/>
                <w:sz w:val="12"/>
              </w:rPr>
              <w:t>101</w:t>
            </w:r>
          </w:p>
          <w:p w:rsidR="00C81D05" w:rsidRDefault="00F517B1">
            <w:pPr>
              <w:spacing w:after="26" w:line="259" w:lineRule="auto"/>
              <w:ind w:left="773" w:firstLine="0"/>
              <w:jc w:val="left"/>
            </w:pPr>
            <w:r>
              <w:rPr>
                <w:b/>
                <w:sz w:val="12"/>
              </w:rPr>
              <w:t>106</w:t>
            </w:r>
          </w:p>
          <w:p w:rsidR="00C81D05" w:rsidRDefault="00F517B1">
            <w:pPr>
              <w:spacing w:after="26" w:line="259" w:lineRule="auto"/>
              <w:ind w:left="773" w:firstLine="0"/>
              <w:jc w:val="left"/>
            </w:pPr>
            <w:r>
              <w:rPr>
                <w:b/>
                <w:sz w:val="12"/>
              </w:rPr>
              <w:t>111</w:t>
            </w:r>
          </w:p>
          <w:p w:rsidR="00C81D05" w:rsidRDefault="00F517B1">
            <w:pPr>
              <w:spacing w:after="26" w:line="259" w:lineRule="auto"/>
              <w:ind w:left="773" w:firstLine="0"/>
              <w:jc w:val="left"/>
            </w:pPr>
            <w:r>
              <w:rPr>
                <w:b/>
                <w:sz w:val="12"/>
              </w:rPr>
              <w:t>117</w:t>
            </w:r>
          </w:p>
          <w:p w:rsidR="00C81D05" w:rsidRDefault="00F517B1">
            <w:pPr>
              <w:spacing w:after="26" w:line="259" w:lineRule="auto"/>
              <w:ind w:left="773" w:firstLine="0"/>
              <w:jc w:val="left"/>
            </w:pPr>
            <w:r>
              <w:rPr>
                <w:b/>
                <w:sz w:val="12"/>
              </w:rPr>
              <w:t>123</w:t>
            </w:r>
          </w:p>
          <w:p w:rsidR="00C81D05" w:rsidRDefault="00F517B1">
            <w:pPr>
              <w:spacing w:after="26" w:line="259" w:lineRule="auto"/>
              <w:ind w:left="773" w:firstLine="0"/>
              <w:jc w:val="left"/>
            </w:pPr>
            <w:r>
              <w:rPr>
                <w:b/>
                <w:sz w:val="12"/>
              </w:rPr>
              <w:t>129</w:t>
            </w:r>
          </w:p>
          <w:p w:rsidR="00C81D05" w:rsidRDefault="00F517B1">
            <w:pPr>
              <w:spacing w:after="26" w:line="259" w:lineRule="auto"/>
              <w:ind w:left="773" w:firstLine="0"/>
              <w:jc w:val="left"/>
            </w:pPr>
            <w:r>
              <w:rPr>
                <w:b/>
                <w:sz w:val="12"/>
              </w:rPr>
              <w:t>135</w:t>
            </w:r>
          </w:p>
          <w:p w:rsidR="00C81D05" w:rsidRDefault="00F517B1">
            <w:pPr>
              <w:spacing w:after="26" w:line="259" w:lineRule="auto"/>
              <w:ind w:left="773" w:firstLine="0"/>
              <w:jc w:val="left"/>
            </w:pPr>
            <w:r>
              <w:rPr>
                <w:b/>
                <w:sz w:val="12"/>
              </w:rPr>
              <w:t>142</w:t>
            </w:r>
          </w:p>
          <w:p w:rsidR="00C81D05" w:rsidRDefault="00F517B1">
            <w:pPr>
              <w:spacing w:after="31" w:line="259" w:lineRule="auto"/>
              <w:ind w:left="773" w:firstLine="0"/>
              <w:jc w:val="left"/>
            </w:pPr>
            <w:r>
              <w:rPr>
                <w:b/>
                <w:sz w:val="12"/>
              </w:rPr>
              <w:t>149</w:t>
            </w:r>
          </w:p>
          <w:p w:rsidR="00C81D05" w:rsidRDefault="00F517B1">
            <w:pPr>
              <w:spacing w:after="26" w:line="259" w:lineRule="auto"/>
              <w:ind w:left="773" w:firstLine="0"/>
              <w:jc w:val="left"/>
            </w:pPr>
            <w:r>
              <w:rPr>
                <w:b/>
                <w:sz w:val="12"/>
              </w:rPr>
              <w:t>157</w:t>
            </w:r>
          </w:p>
          <w:p w:rsidR="00C81D05" w:rsidRDefault="00F517B1">
            <w:pPr>
              <w:spacing w:after="0" w:line="259" w:lineRule="auto"/>
              <w:ind w:left="773" w:firstLine="0"/>
              <w:jc w:val="left"/>
            </w:pPr>
            <w:r>
              <w:rPr>
                <w:b/>
                <w:sz w:val="12"/>
              </w:rPr>
              <w:t>165</w:t>
            </w:r>
          </w:p>
        </w:tc>
        <w:tc>
          <w:tcPr>
            <w:tcW w:w="1003" w:type="dxa"/>
            <w:tcBorders>
              <w:top w:val="single" w:sz="10" w:space="0" w:color="000000"/>
              <w:left w:val="single" w:sz="6" w:space="0" w:color="000000"/>
              <w:bottom w:val="single" w:sz="10" w:space="0" w:color="000000"/>
              <w:right w:val="single" w:sz="5" w:space="0" w:color="000000"/>
            </w:tcBorders>
          </w:tcPr>
          <w:p w:rsidR="00C81D05" w:rsidRDefault="00F517B1">
            <w:pPr>
              <w:spacing w:after="31" w:line="259" w:lineRule="auto"/>
              <w:ind w:left="685" w:firstLine="0"/>
              <w:jc w:val="left"/>
            </w:pPr>
            <w:r>
              <w:rPr>
                <w:b/>
                <w:sz w:val="12"/>
              </w:rPr>
              <w:t>47</w:t>
            </w:r>
          </w:p>
          <w:p w:rsidR="00C81D05" w:rsidRDefault="00F517B1">
            <w:pPr>
              <w:spacing w:after="26" w:line="259" w:lineRule="auto"/>
              <w:ind w:left="685" w:firstLine="0"/>
              <w:jc w:val="left"/>
            </w:pPr>
            <w:r>
              <w:rPr>
                <w:b/>
                <w:sz w:val="12"/>
              </w:rPr>
              <w:t>49</w:t>
            </w:r>
          </w:p>
          <w:p w:rsidR="00C81D05" w:rsidRDefault="00F517B1">
            <w:pPr>
              <w:spacing w:after="26" w:line="259" w:lineRule="auto"/>
              <w:ind w:left="685" w:firstLine="0"/>
              <w:jc w:val="left"/>
            </w:pPr>
            <w:r>
              <w:rPr>
                <w:b/>
                <w:sz w:val="12"/>
              </w:rPr>
              <w:t>50</w:t>
            </w:r>
          </w:p>
          <w:p w:rsidR="00C81D05" w:rsidRDefault="00F517B1">
            <w:pPr>
              <w:spacing w:after="26" w:line="259" w:lineRule="auto"/>
              <w:ind w:left="685" w:firstLine="0"/>
              <w:jc w:val="left"/>
            </w:pPr>
            <w:r>
              <w:rPr>
                <w:b/>
                <w:sz w:val="12"/>
              </w:rPr>
              <w:t>52</w:t>
            </w:r>
          </w:p>
          <w:p w:rsidR="00C81D05" w:rsidRDefault="00F517B1">
            <w:pPr>
              <w:spacing w:after="26" w:line="259" w:lineRule="auto"/>
              <w:ind w:left="685" w:firstLine="0"/>
              <w:jc w:val="left"/>
            </w:pPr>
            <w:r>
              <w:rPr>
                <w:b/>
                <w:sz w:val="12"/>
              </w:rPr>
              <w:t>54</w:t>
            </w:r>
          </w:p>
          <w:p w:rsidR="00C81D05" w:rsidRDefault="00F517B1">
            <w:pPr>
              <w:spacing w:after="26" w:line="259" w:lineRule="auto"/>
              <w:ind w:left="685" w:firstLine="0"/>
              <w:jc w:val="left"/>
            </w:pPr>
            <w:r>
              <w:rPr>
                <w:b/>
                <w:sz w:val="12"/>
              </w:rPr>
              <w:t>55</w:t>
            </w:r>
          </w:p>
          <w:p w:rsidR="00C81D05" w:rsidRDefault="00F517B1">
            <w:pPr>
              <w:spacing w:after="26" w:line="259" w:lineRule="auto"/>
              <w:ind w:left="685" w:firstLine="0"/>
              <w:jc w:val="left"/>
            </w:pPr>
            <w:r>
              <w:rPr>
                <w:b/>
                <w:sz w:val="12"/>
              </w:rPr>
              <w:t>57</w:t>
            </w:r>
          </w:p>
          <w:p w:rsidR="00C81D05" w:rsidRDefault="00F517B1">
            <w:pPr>
              <w:spacing w:after="26" w:line="259" w:lineRule="auto"/>
              <w:ind w:left="685" w:firstLine="0"/>
              <w:jc w:val="left"/>
            </w:pPr>
            <w:r>
              <w:rPr>
                <w:b/>
                <w:sz w:val="12"/>
              </w:rPr>
              <w:t>59</w:t>
            </w:r>
          </w:p>
          <w:p w:rsidR="00C81D05" w:rsidRDefault="00F517B1">
            <w:pPr>
              <w:spacing w:after="31" w:line="259" w:lineRule="auto"/>
              <w:ind w:left="684" w:firstLine="0"/>
              <w:jc w:val="left"/>
            </w:pPr>
            <w:r>
              <w:rPr>
                <w:b/>
                <w:sz w:val="12"/>
              </w:rPr>
              <w:t>61</w:t>
            </w:r>
          </w:p>
          <w:p w:rsidR="00C81D05" w:rsidRDefault="00F517B1">
            <w:pPr>
              <w:spacing w:after="26" w:line="259" w:lineRule="auto"/>
              <w:ind w:left="684" w:firstLine="0"/>
              <w:jc w:val="left"/>
            </w:pPr>
            <w:r>
              <w:rPr>
                <w:b/>
                <w:sz w:val="12"/>
              </w:rPr>
              <w:t>63</w:t>
            </w:r>
          </w:p>
          <w:p w:rsidR="00C81D05" w:rsidRDefault="00F517B1">
            <w:pPr>
              <w:spacing w:after="0" w:line="259" w:lineRule="auto"/>
              <w:ind w:left="684" w:firstLine="0"/>
              <w:jc w:val="left"/>
            </w:pPr>
            <w:r>
              <w:rPr>
                <w:b/>
                <w:sz w:val="12"/>
              </w:rPr>
              <w:t>65</w:t>
            </w:r>
          </w:p>
        </w:tc>
        <w:tc>
          <w:tcPr>
            <w:tcW w:w="1104" w:type="dxa"/>
            <w:tcBorders>
              <w:top w:val="single" w:sz="10" w:space="0" w:color="000000"/>
              <w:left w:val="single" w:sz="5" w:space="0" w:color="000000"/>
              <w:bottom w:val="single" w:sz="10" w:space="0" w:color="000000"/>
              <w:right w:val="single" w:sz="5" w:space="0" w:color="000000"/>
            </w:tcBorders>
          </w:tcPr>
          <w:p w:rsidR="00C81D05" w:rsidRDefault="00F517B1">
            <w:pPr>
              <w:spacing w:after="31" w:line="259" w:lineRule="auto"/>
              <w:ind w:left="378" w:firstLine="0"/>
              <w:jc w:val="left"/>
            </w:pPr>
            <w:r>
              <w:rPr>
                <w:b/>
                <w:sz w:val="12"/>
              </w:rPr>
              <w:t>4 252 100</w:t>
            </w:r>
          </w:p>
          <w:p w:rsidR="00C81D05" w:rsidRDefault="00F517B1">
            <w:pPr>
              <w:spacing w:after="26" w:line="259" w:lineRule="auto"/>
              <w:ind w:left="378" w:firstLine="0"/>
              <w:jc w:val="left"/>
            </w:pPr>
            <w:r>
              <w:rPr>
                <w:b/>
                <w:sz w:val="12"/>
              </w:rPr>
              <w:t>4 210 185</w:t>
            </w:r>
          </w:p>
          <w:p w:rsidR="00C81D05" w:rsidRDefault="00F517B1">
            <w:pPr>
              <w:spacing w:after="26" w:line="259" w:lineRule="auto"/>
              <w:ind w:left="378" w:firstLine="0"/>
              <w:jc w:val="left"/>
            </w:pPr>
            <w:r>
              <w:rPr>
                <w:b/>
                <w:sz w:val="12"/>
              </w:rPr>
              <w:t>4 153 448</w:t>
            </w:r>
          </w:p>
          <w:p w:rsidR="00C81D05" w:rsidRDefault="00F517B1">
            <w:pPr>
              <w:spacing w:after="26" w:line="259" w:lineRule="auto"/>
              <w:ind w:left="378" w:firstLine="0"/>
              <w:jc w:val="left"/>
            </w:pPr>
            <w:r>
              <w:rPr>
                <w:b/>
                <w:sz w:val="12"/>
              </w:rPr>
              <w:t>4 080 512</w:t>
            </w:r>
          </w:p>
          <w:p w:rsidR="00C81D05" w:rsidRDefault="00F517B1">
            <w:pPr>
              <w:numPr>
                <w:ilvl w:val="0"/>
                <w:numId w:val="7"/>
              </w:numPr>
              <w:spacing w:after="26" w:line="259" w:lineRule="auto"/>
              <w:ind w:left="479" w:hanging="101"/>
              <w:jc w:val="left"/>
            </w:pPr>
            <w:r>
              <w:rPr>
                <w:b/>
                <w:sz w:val="12"/>
              </w:rPr>
              <w:t>989 899</w:t>
            </w:r>
          </w:p>
          <w:p w:rsidR="00C81D05" w:rsidRDefault="00F517B1">
            <w:pPr>
              <w:numPr>
                <w:ilvl w:val="0"/>
                <w:numId w:val="7"/>
              </w:numPr>
              <w:spacing w:after="26" w:line="259" w:lineRule="auto"/>
              <w:ind w:left="479" w:hanging="101"/>
              <w:jc w:val="left"/>
            </w:pPr>
            <w:r>
              <w:rPr>
                <w:b/>
                <w:sz w:val="12"/>
              </w:rPr>
              <w:t>034 709</w:t>
            </w:r>
          </w:p>
          <w:p w:rsidR="00C81D05" w:rsidRDefault="00F517B1">
            <w:pPr>
              <w:spacing w:after="26" w:line="259" w:lineRule="auto"/>
              <w:ind w:left="377" w:firstLine="0"/>
              <w:jc w:val="left"/>
            </w:pPr>
            <w:r>
              <w:rPr>
                <w:b/>
                <w:sz w:val="12"/>
              </w:rPr>
              <w:t>4 101 095</w:t>
            </w:r>
          </w:p>
          <w:p w:rsidR="00C81D05" w:rsidRDefault="00F517B1">
            <w:pPr>
              <w:spacing w:after="26" w:line="259" w:lineRule="auto"/>
              <w:ind w:left="377" w:firstLine="0"/>
              <w:jc w:val="left"/>
            </w:pPr>
            <w:r>
              <w:rPr>
                <w:b/>
                <w:sz w:val="12"/>
              </w:rPr>
              <w:t>4 306 149</w:t>
            </w:r>
          </w:p>
          <w:p w:rsidR="00C81D05" w:rsidRDefault="00F517B1">
            <w:pPr>
              <w:spacing w:after="31" w:line="259" w:lineRule="auto"/>
              <w:ind w:left="377" w:firstLine="0"/>
              <w:jc w:val="left"/>
            </w:pPr>
            <w:r>
              <w:rPr>
                <w:b/>
                <w:sz w:val="12"/>
              </w:rPr>
              <w:t>4 521 457</w:t>
            </w:r>
          </w:p>
          <w:p w:rsidR="00C81D05" w:rsidRDefault="00F517B1">
            <w:pPr>
              <w:spacing w:after="26" w:line="259" w:lineRule="auto"/>
              <w:ind w:left="377" w:firstLine="0"/>
              <w:jc w:val="left"/>
            </w:pPr>
            <w:r>
              <w:rPr>
                <w:b/>
                <w:sz w:val="12"/>
              </w:rPr>
              <w:t>4 747 530</w:t>
            </w:r>
          </w:p>
          <w:p w:rsidR="00C81D05" w:rsidRDefault="00F517B1">
            <w:pPr>
              <w:spacing w:after="0" w:line="259" w:lineRule="auto"/>
              <w:ind w:left="454" w:hanging="77"/>
              <w:jc w:val="left"/>
            </w:pPr>
            <w:r>
              <w:rPr>
                <w:b/>
                <w:sz w:val="12"/>
              </w:rPr>
              <w:t>4 984 906 jne</w:t>
            </w:r>
          </w:p>
        </w:tc>
        <w:tc>
          <w:tcPr>
            <w:tcW w:w="963" w:type="dxa"/>
            <w:tcBorders>
              <w:top w:val="single" w:sz="10" w:space="0" w:color="000000"/>
              <w:left w:val="single" w:sz="5" w:space="0" w:color="000000"/>
              <w:bottom w:val="single" w:sz="10" w:space="0" w:color="000000"/>
              <w:right w:val="single" w:sz="8" w:space="0" w:color="000000"/>
            </w:tcBorders>
          </w:tcPr>
          <w:p w:rsidR="00C81D05" w:rsidRDefault="00F517B1">
            <w:pPr>
              <w:spacing w:after="31" w:line="259" w:lineRule="auto"/>
              <w:ind w:left="234" w:firstLine="0"/>
              <w:jc w:val="left"/>
            </w:pPr>
            <w:r>
              <w:rPr>
                <w:b/>
                <w:sz w:val="12"/>
              </w:rPr>
              <w:t>1 978 700</w:t>
            </w:r>
          </w:p>
          <w:p w:rsidR="00C81D05" w:rsidRDefault="00F517B1">
            <w:pPr>
              <w:spacing w:after="26" w:line="259" w:lineRule="auto"/>
              <w:ind w:left="234" w:firstLine="0"/>
              <w:jc w:val="left"/>
            </w:pPr>
            <w:r>
              <w:rPr>
                <w:b/>
                <w:sz w:val="12"/>
              </w:rPr>
              <w:t>1 927 475</w:t>
            </w:r>
          </w:p>
          <w:p w:rsidR="00C81D05" w:rsidRDefault="00F517B1">
            <w:pPr>
              <w:spacing w:after="26" w:line="259" w:lineRule="auto"/>
              <w:ind w:left="234" w:firstLine="0"/>
              <w:jc w:val="left"/>
            </w:pPr>
            <w:r>
              <w:rPr>
                <w:b/>
                <w:sz w:val="12"/>
              </w:rPr>
              <w:t>1 870 714</w:t>
            </w:r>
          </w:p>
          <w:p w:rsidR="00C81D05" w:rsidRDefault="00F517B1">
            <w:pPr>
              <w:spacing w:after="26" w:line="259" w:lineRule="auto"/>
              <w:ind w:left="234" w:firstLine="0"/>
              <w:jc w:val="left"/>
            </w:pPr>
            <w:r>
              <w:rPr>
                <w:b/>
                <w:sz w:val="12"/>
              </w:rPr>
              <w:t>1 808 108</w:t>
            </w:r>
          </w:p>
          <w:p w:rsidR="00C81D05" w:rsidRDefault="00F517B1">
            <w:pPr>
              <w:spacing w:after="26" w:line="259" w:lineRule="auto"/>
              <w:ind w:left="234" w:firstLine="0"/>
              <w:jc w:val="left"/>
            </w:pPr>
            <w:r>
              <w:rPr>
                <w:b/>
                <w:sz w:val="12"/>
              </w:rPr>
              <w:t>1 739 332</w:t>
            </w:r>
          </w:p>
          <w:p w:rsidR="00C81D05" w:rsidRDefault="00F517B1">
            <w:pPr>
              <w:spacing w:after="26" w:line="259" w:lineRule="auto"/>
              <w:ind w:left="234" w:firstLine="0"/>
              <w:jc w:val="left"/>
            </w:pPr>
            <w:r>
              <w:rPr>
                <w:b/>
                <w:sz w:val="12"/>
              </w:rPr>
              <w:t>1 730 389</w:t>
            </w:r>
          </w:p>
          <w:p w:rsidR="00C81D05" w:rsidRDefault="00F517B1">
            <w:pPr>
              <w:spacing w:after="26" w:line="259" w:lineRule="auto"/>
              <w:ind w:left="234" w:firstLine="0"/>
              <w:jc w:val="left"/>
            </w:pPr>
            <w:r>
              <w:rPr>
                <w:b/>
                <w:sz w:val="12"/>
              </w:rPr>
              <w:t>1 730 384</w:t>
            </w:r>
          </w:p>
          <w:p w:rsidR="00C81D05" w:rsidRDefault="00F517B1">
            <w:pPr>
              <w:spacing w:after="26" w:line="259" w:lineRule="auto"/>
              <w:ind w:left="234" w:firstLine="0"/>
              <w:jc w:val="left"/>
            </w:pPr>
            <w:r>
              <w:rPr>
                <w:b/>
                <w:sz w:val="12"/>
              </w:rPr>
              <w:t>1 787 486</w:t>
            </w:r>
          </w:p>
          <w:p w:rsidR="00C81D05" w:rsidRDefault="00F517B1">
            <w:pPr>
              <w:spacing w:after="31" w:line="259" w:lineRule="auto"/>
              <w:ind w:left="234" w:firstLine="0"/>
              <w:jc w:val="left"/>
            </w:pPr>
            <w:r>
              <w:rPr>
                <w:b/>
                <w:sz w:val="12"/>
              </w:rPr>
              <w:t>1 846 473</w:t>
            </w:r>
          </w:p>
          <w:p w:rsidR="00C81D05" w:rsidRDefault="00F517B1">
            <w:pPr>
              <w:spacing w:after="26" w:line="259" w:lineRule="auto"/>
              <w:ind w:left="233" w:firstLine="0"/>
              <w:jc w:val="left"/>
            </w:pPr>
            <w:r>
              <w:rPr>
                <w:b/>
                <w:sz w:val="12"/>
              </w:rPr>
              <w:t>1 907 407</w:t>
            </w:r>
          </w:p>
          <w:p w:rsidR="00C81D05" w:rsidRDefault="00F517B1">
            <w:pPr>
              <w:spacing w:after="21" w:line="259" w:lineRule="auto"/>
              <w:ind w:left="233" w:firstLine="0"/>
              <w:jc w:val="left"/>
            </w:pPr>
            <w:r>
              <w:rPr>
                <w:b/>
                <w:sz w:val="12"/>
              </w:rPr>
              <w:t>1 970 351</w:t>
            </w:r>
          </w:p>
          <w:p w:rsidR="00C81D05" w:rsidRDefault="00F517B1">
            <w:pPr>
              <w:spacing w:after="0" w:line="259" w:lineRule="auto"/>
              <w:ind w:left="23" w:firstLine="0"/>
              <w:jc w:val="center"/>
            </w:pPr>
            <w:r>
              <w:rPr>
                <w:b/>
                <w:sz w:val="12"/>
              </w:rPr>
              <w:t>20 296 819</w:t>
            </w:r>
          </w:p>
        </w:tc>
      </w:tr>
    </w:tbl>
    <w:p w:rsidR="00C81D05" w:rsidRDefault="00F517B1">
      <w:pPr>
        <w:spacing w:after="29" w:line="265" w:lineRule="auto"/>
        <w:ind w:left="2576"/>
        <w:jc w:val="left"/>
      </w:pPr>
      <w:r>
        <w:rPr>
          <w:rFonts w:ascii="Calibri" w:eastAsia="Calibri" w:hAnsi="Calibri" w:cs="Calibri"/>
          <w:sz w:val="11"/>
        </w:rPr>
        <w:t>*) Ylläpidon kustannus ka. 4,3M€ vuodessa (+ poistot)</w:t>
      </w:r>
    </w:p>
    <w:p w:rsidR="00C81D05" w:rsidRDefault="00F517B1">
      <w:pPr>
        <w:spacing w:after="1109" w:line="265" w:lineRule="auto"/>
        <w:ind w:left="2576"/>
        <w:jc w:val="left"/>
      </w:pPr>
      <w:r>
        <w:rPr>
          <w:rFonts w:ascii="Calibri" w:eastAsia="Calibri" w:hAnsi="Calibri" w:cs="Calibri"/>
          <w:sz w:val="11"/>
        </w:rPr>
        <w:t>Strategiaksi valittu etupainotteinen kiinteistöjen vähennys vaikuttaa ylläpitokustannusten hallintaan tehokkaimmin.</w:t>
      </w:r>
    </w:p>
    <w:p w:rsidR="00C81D05" w:rsidRDefault="00F517B1">
      <w:pPr>
        <w:pStyle w:val="Otsikko2"/>
        <w:spacing w:after="514"/>
        <w:ind w:left="794" w:right="25" w:hanging="434"/>
      </w:pPr>
      <w:bookmarkStart w:id="10" w:name="_Toc22337"/>
      <w:r>
        <w:t>Seurakunnan toiminnot ja tilankäytön tehostaminen</w:t>
      </w:r>
      <w:bookmarkEnd w:id="10"/>
    </w:p>
    <w:p w:rsidR="00C81D05" w:rsidRDefault="00F517B1">
      <w:pPr>
        <w:spacing w:after="625"/>
        <w:ind w:left="2549" w:right="25"/>
      </w:pPr>
      <w:r>
        <w:t>Kiinteistöselvityksessä tutkittiin seurakunnan omistuskiinteistöjen käyttötunnit ja laskettiin niiden käyttöasteet (tilanne 03/09). Valittujen laskentaperusteiden mukaan tutkittujen omistuskiinteistöjen keskimääräinen käyttöaste on noin 35 %. Tavoitteena o</w:t>
      </w:r>
      <w:r>
        <w:t>n kiinteistöjen käyttöasteen nostamisen strategiakauden aikana yli 40 %:iin. Kaudelle esitetty kiinteistömassan vähentäminen voidaan toteuttaa seurakunnan toimintoja vaarantamatta. Nykyisille toiminnoille pystytään järjestämään tarkoituksenmukaiset tilat s</w:t>
      </w:r>
      <w:r>
        <w:t xml:space="preserve">uunnittelemalla uudelleen tilankäyttöä ja toiminnan sijoittamista. Väestö- ja jäsenmuutoksista aiheutuvat toiminnallisien tarpeiden muutokset tullaan huomioimaan strategiakauden aikana paikallisesti toimitilasuunnittelussa. Suunnittelussa huomioidaan myös </w:t>
      </w:r>
      <w:r>
        <w:t>yhteistoiminta- ja yhteiskäyttömahdollisuudet. Väestömuutokset eivät vaikuta strategian mukaiseen omistuskiinteistöjen vähentämistarpeeseen. Alueellisiin väestömuutoksiin, jotka näkyvät voimakkaimmin  lapsija varhaisnuorisotyön kerhotoiminnan tilatarpeissa</w:t>
      </w:r>
      <w:r>
        <w:t>, on tarkoituksenmukaisinta reagoida vuokratiloja lisäämällä ja selvittämällä tilojen yhteiskäyttömahdollisuuksia.</w:t>
      </w:r>
    </w:p>
    <w:p w:rsidR="00C81D05" w:rsidRDefault="00F517B1">
      <w:pPr>
        <w:spacing w:after="625"/>
        <w:ind w:left="2549" w:right="25"/>
      </w:pPr>
      <w:r>
        <w:rPr>
          <w:noProof/>
        </w:rPr>
        <w:drawing>
          <wp:anchor distT="0" distB="0" distL="114300" distR="114300" simplePos="0" relativeHeight="251669504"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19"/>
                    <a:stretch>
                      <a:fillRect/>
                    </a:stretch>
                  </pic:blipFill>
                  <pic:spPr>
                    <a:xfrm>
                      <a:off x="0" y="0"/>
                      <a:ext cx="2639568" cy="100571"/>
                    </a:xfrm>
                    <a:prstGeom prst="rect">
                      <a:avLst/>
                    </a:prstGeom>
                  </pic:spPr>
                </pic:pic>
              </a:graphicData>
            </a:graphic>
          </wp:anchor>
        </w:drawing>
      </w:r>
      <w:r>
        <w:t>Peruskorjaus- tai mahdollisten uudishankkeiden yhteydessä tullaan jatkossa suorittamaan rakennusteknisen tutkinnan ja suunnittelun lisäksi m</w:t>
      </w:r>
      <w:r>
        <w:t>yös toiminnallinen tarkastelu. Tarpeen mukaan toiminnallinen tarkastelu tehdään koko alueseurakunnan toiminnan osalta. Toiminnallisen tarkastelun tavoitteena on aikaansaada tehokas tilankäyttö suunniteltavaan rakennukseen ja kuvaus suunniteltujen tilojen t</w:t>
      </w:r>
      <w:r>
        <w:t>arpeellisuudesta osana koko alueseurakunnan toimitiloja.</w:t>
      </w:r>
    </w:p>
    <w:p w:rsidR="00C81D05" w:rsidRDefault="00F517B1">
      <w:pPr>
        <w:ind w:left="2549" w:right="25"/>
      </w:pPr>
      <w:r>
        <w:t>Tilankäytön arviointi liitetään jatkossa osaksi vuosittaista alueseurakuntien ja hallinnon yhteistä strategiatyöskentelyä. Se helpottaa tilaresurssin suunnittelua, korjaustarpeiden priorisointia ja i</w:t>
      </w:r>
      <w:r>
        <w:t>nvestointikustannuksien jaksottamista. Tilankäytön arvioinnissa käytetään kirkkohallituksen tilojen käyttöasteen laskemista koskevia ohjeita (Kirkkohallituksen yliarkkitehdin ohjeet). Tilankäytön raportit kootaan seurakunnan käytössä olevasta tilavarausjär</w:t>
      </w:r>
      <w:r>
        <w:t>jestelmästä.</w:t>
      </w:r>
    </w:p>
    <w:p w:rsidR="00C81D05" w:rsidRDefault="00F517B1">
      <w:pPr>
        <w:pStyle w:val="Otsikko1"/>
        <w:ind w:left="346" w:hanging="361"/>
      </w:pPr>
      <w:bookmarkStart w:id="11" w:name="_Toc22338"/>
      <w:r>
        <w:t>Toteutussuunnitelma</w:t>
      </w:r>
      <w:bookmarkEnd w:id="11"/>
    </w:p>
    <w:p w:rsidR="00C81D05" w:rsidRDefault="00F517B1">
      <w:pPr>
        <w:pStyle w:val="Otsikko2"/>
        <w:spacing w:after="514"/>
        <w:ind w:left="795" w:right="25" w:hanging="435"/>
      </w:pPr>
      <w:bookmarkStart w:id="12" w:name="_Toc22339"/>
      <w:r>
        <w:t>Toimenpiteet kiinteistöluopumisien osalta</w:t>
      </w:r>
      <w:bookmarkEnd w:id="12"/>
    </w:p>
    <w:p w:rsidR="00C81D05" w:rsidRDefault="00F517B1">
      <w:pPr>
        <w:spacing w:after="385"/>
        <w:ind w:left="2549" w:right="25"/>
      </w:pPr>
      <w:r>
        <w:t>Kiinteistöomaisuuden (kiinteistöt ja osakkeet) nykyaikainen hallinta edellyttää vuosittain peruskorjaus-, ylläpito-, ajanmukaistamis- ja kunnossapitomäärärahoja varallisuusarvon yll</w:t>
      </w:r>
      <w:r>
        <w:t>äpitämiseksi.</w:t>
      </w:r>
    </w:p>
    <w:p w:rsidR="00C81D05" w:rsidRDefault="00F517B1">
      <w:pPr>
        <w:spacing w:after="6"/>
        <w:ind w:left="2549" w:right="25"/>
      </w:pPr>
      <w:r>
        <w:t>Seurakunnan omistamat kiinteistöt on priorisoitu kolmeen kategoriaan korjaustarpeiden priorisoimiseksi ja kiinteistökustannusten jaksottamiseksi:</w:t>
      </w:r>
    </w:p>
    <w:p w:rsidR="00C81D05" w:rsidRDefault="00F517B1">
      <w:pPr>
        <w:numPr>
          <w:ilvl w:val="0"/>
          <w:numId w:val="4"/>
        </w:numPr>
        <w:spacing w:after="385"/>
        <w:ind w:right="25" w:hanging="326"/>
      </w:pPr>
      <w:r>
        <w:rPr>
          <w:noProof/>
        </w:rPr>
        <w:drawing>
          <wp:anchor distT="0" distB="0" distL="114300" distR="114300" simplePos="0" relativeHeight="251670528"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20"/>
                    <a:stretch>
                      <a:fillRect/>
                    </a:stretch>
                  </pic:blipFill>
                  <pic:spPr>
                    <a:xfrm>
                      <a:off x="0" y="0"/>
                      <a:ext cx="2639568" cy="100571"/>
                    </a:xfrm>
                    <a:prstGeom prst="rect">
                      <a:avLst/>
                    </a:prstGeom>
                  </pic:spPr>
                </pic:pic>
              </a:graphicData>
            </a:graphic>
          </wp:anchor>
        </w:drawing>
      </w:r>
      <w:r>
        <w:rPr>
          <w:u w:val="single" w:color="000000"/>
        </w:rPr>
        <w:t>Ensisijaiset, säilytettävät kiinteistöt,</w:t>
      </w:r>
      <w:r>
        <w:t xml:space="preserve"> jotka ovat strategisen ja ydintoiminnan kannalta vältt</w:t>
      </w:r>
      <w:r>
        <w:t>ämättömiä tai muutoin eivät tässä vaiheessa tule realisoitaviksi. Näitä kiinteistöjä ovat mm. korkean kirkollisen statuksen omaavat kirkkokiinteistöt ja hautaustoimeen suoraan liittyvät kiinteistöt, pois lukien Korpilahden kappeli, joka poistuu strategiaka</w:t>
      </w:r>
      <w:r>
        <w:t>uden lopulla. Kategoriaan kuuluvat lisäksi alueseurakuntamallin mukaiset ja arviointia ohjaavat kriteerit täyttävät kiinteistöt.</w:t>
      </w:r>
    </w:p>
    <w:p w:rsidR="00C81D05" w:rsidRDefault="00F517B1">
      <w:pPr>
        <w:numPr>
          <w:ilvl w:val="0"/>
          <w:numId w:val="4"/>
        </w:numPr>
        <w:ind w:right="25" w:hanging="326"/>
      </w:pPr>
      <w:r>
        <w:rPr>
          <w:u w:val="single" w:color="000000"/>
        </w:rPr>
        <w:t>Hankesuunnittelua edellyttävät kiinteistöt,</w:t>
      </w:r>
      <w:r>
        <w:t xml:space="preserve"> joiden osalta päätöksenteko edellyttää kiinteistökohtaista hankesuunnitelmaa. Lohik</w:t>
      </w:r>
      <w:r>
        <w:t>osken ja Halssilan seurakuntakeskuksen kohdalla kiinteistöissä on suojelullisia rajoituksia. Huhtasuon seurakuntakeskus edellyttää eri kehitysvaihtoehtojen tutkiminen esimerkiksi mahdollisen yhteiskäytön osalta. Taloudelliset ja toiminnalliset tai kaavoitu</w:t>
      </w:r>
      <w:r>
        <w:t>kselliset lisäselvitykset hankesuunnitelman tasolla tullaan suorittamaan lisäksi Keskusseurakuntatalon, Keskustan Pappilan, Mutasen leirikeskuksen, Tyyppälän  ja Kuokkalan Polttolinja 29/37 tilojen osalta.</w:t>
      </w:r>
    </w:p>
    <w:p w:rsidR="00C81D05" w:rsidRDefault="00F517B1">
      <w:pPr>
        <w:numPr>
          <w:ilvl w:val="0"/>
          <w:numId w:val="4"/>
        </w:numPr>
        <w:spacing w:after="501"/>
        <w:ind w:right="25" w:hanging="326"/>
      </w:pPr>
      <w:r>
        <w:rPr>
          <w:u w:val="single" w:color="000000"/>
        </w:rPr>
        <w:t>Realisoitavat kiinteistöt</w:t>
      </w:r>
      <w:r>
        <w:t>, joiden myynnistä tehdää</w:t>
      </w:r>
      <w:r>
        <w:t>n päätös ja joiden realisoinnin käytännön toteutus tullaan selvittämään mahdollisimman pikaisesti. Myyntiä koskeva toimeksianto tullaan käynnistämään strategiakauden ensimmäisellä puolikkaalla. Ennen kiinteistöstä luopumista varmistetaan, että luovuttavass</w:t>
      </w:r>
      <w:r>
        <w:t>a kiinteistössä tapahtuvat seurakunnan toiminnot voidaan jatkossa järjestää niin, ettei kiinteistön myynti uhkaa seurakunnan ydintoimintaa. Lisäksi tutkitaan viranomaistahot ja varmistetaan, ettei kiinteistöstä luopumiseen ole esteitä. Vuokratalokiinteistö</w:t>
      </w:r>
      <w:r>
        <w:t>jen osalta tulee erikseen selvitettäväksi kiinteistöille soveltuvan, yhteiskuntavastuullisen ostajan löytäminen.</w:t>
      </w:r>
    </w:p>
    <w:p w:rsidR="00C81D05" w:rsidRDefault="00F517B1">
      <w:pPr>
        <w:spacing w:after="385"/>
        <w:ind w:left="2924" w:right="25"/>
      </w:pPr>
      <w:r>
        <w:rPr>
          <w:noProof/>
        </w:rPr>
        <w:drawing>
          <wp:anchor distT="0" distB="0" distL="114300" distR="114300" simplePos="0" relativeHeight="251671552"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21"/>
                    <a:stretch>
                      <a:fillRect/>
                    </a:stretch>
                  </pic:blipFill>
                  <pic:spPr>
                    <a:xfrm>
                      <a:off x="0" y="0"/>
                      <a:ext cx="2639568" cy="100571"/>
                    </a:xfrm>
                    <a:prstGeom prst="rect">
                      <a:avLst/>
                    </a:prstGeom>
                  </pic:spPr>
                </pic:pic>
              </a:graphicData>
            </a:graphic>
          </wp:anchor>
        </w:drawing>
      </w:r>
      <w:r>
        <w:t>Tässä kategoriassa suuren osan muodostavat kiinteistöt, jotka alueneuvostot ovat kuulemiskierroksella nimenneet aiemmin määriteltyjen kriteere</w:t>
      </w:r>
      <w:r>
        <w:t>iden perusteella. Strategiakauden luopumisvaateiden toteutumiseksi on ohjausryhmä lisäksi arvioinut realisoitavia kiinteistöjä kappaleen 4.2. valintakriteereiden perusteella.</w:t>
      </w:r>
    </w:p>
    <w:p w:rsidR="00C81D05" w:rsidRDefault="00F517B1">
      <w:pPr>
        <w:spacing w:after="1357" w:line="265" w:lineRule="auto"/>
        <w:ind w:left="2000" w:right="1478"/>
        <w:jc w:val="center"/>
      </w:pPr>
      <w:r>
        <w:t>Kiinteistöjen luokitukset on esitetty liitteessä 2.</w:t>
      </w:r>
    </w:p>
    <w:p w:rsidR="00C81D05" w:rsidRDefault="00F517B1">
      <w:pPr>
        <w:pStyle w:val="Otsikko2"/>
        <w:spacing w:after="399"/>
        <w:ind w:left="794" w:right="25" w:hanging="434"/>
      </w:pPr>
      <w:bookmarkStart w:id="13" w:name="_Toc22340"/>
      <w:r>
        <w:t>Yleiset toimenpiteet kiinteistöjen korjauksien yhteydessä</w:t>
      </w:r>
      <w:bookmarkEnd w:id="13"/>
    </w:p>
    <w:p w:rsidR="00C81D05" w:rsidRDefault="00F517B1">
      <w:pPr>
        <w:spacing w:after="386"/>
        <w:ind w:left="2549" w:right="25"/>
      </w:pPr>
      <w:r>
        <w:t xml:space="preserve">Yleisesti seuraavien vuosien kiinteistökorjauksissa tulee huomioida seurakunnan omistamien kiinteistöjen vesikattojen tarpeenmukaiset korjaus- ja uudistamistyöt. Kosteusvaurioiden vähentämiseksi ja </w:t>
      </w:r>
      <w:r>
        <w:t>ennaltaehkäisemiseksi tulee huomioida kiinteistöjen perustuksien ympärillä tarpeen mukaan tehtävät maanparannus-, salaojitusja viemäröintityöt. Lisäksi kiinteistötekniikan (LVISA) uudistamiset on otettava huomioon osana tehokkaampaa energiakäytön hallintaa</w:t>
      </w:r>
      <w:r>
        <w:t>. Rikos- ja paloilmoitinjärjestelmien ajanmukaistamisiin ja uudistuksiin tulee myös varautua.</w:t>
      </w:r>
    </w:p>
    <w:p w:rsidR="00C81D05" w:rsidRDefault="00F517B1">
      <w:pPr>
        <w:spacing w:after="505"/>
        <w:ind w:left="2549" w:right="25"/>
      </w:pPr>
      <w:r>
        <w:t xml:space="preserve">Näillä toimenpiteillä tähdätään terveelliseen, turvalliseen ja ympäristönäkökulman paremmin huomioon ottavaan työympäristöön. Samalla  ylläpidetään kiinteistöjen </w:t>
      </w:r>
      <w:r>
        <w:t>arvoa ja jatketaan niiden elinkaarta.</w:t>
      </w:r>
    </w:p>
    <w:p w:rsidR="00C81D05" w:rsidRDefault="00F517B1">
      <w:pPr>
        <w:pStyle w:val="Otsikko2"/>
        <w:spacing w:after="399"/>
        <w:ind w:left="793" w:right="25" w:hanging="433"/>
      </w:pPr>
      <w:bookmarkStart w:id="14" w:name="_Toc22341"/>
      <w:r>
        <w:t>Toimenpiteet ylläpitokustannusten hallitsemiseksi</w:t>
      </w:r>
      <w:bookmarkEnd w:id="14"/>
    </w:p>
    <w:p w:rsidR="00C81D05" w:rsidRDefault="00F517B1">
      <w:pPr>
        <w:spacing w:after="510"/>
        <w:ind w:left="2549" w:right="25"/>
      </w:pPr>
      <w:r>
        <w:rPr>
          <w:noProof/>
        </w:rPr>
        <w:drawing>
          <wp:anchor distT="0" distB="0" distL="114300" distR="114300" simplePos="0" relativeHeight="251672576"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22"/>
                    <a:stretch>
                      <a:fillRect/>
                    </a:stretch>
                  </pic:blipFill>
                  <pic:spPr>
                    <a:xfrm>
                      <a:off x="0" y="0"/>
                      <a:ext cx="2639568" cy="100571"/>
                    </a:xfrm>
                    <a:prstGeom prst="rect">
                      <a:avLst/>
                    </a:prstGeom>
                  </pic:spPr>
                </pic:pic>
              </a:graphicData>
            </a:graphic>
          </wp:anchor>
        </w:drawing>
      </w:r>
      <w:r>
        <w:t>Kiinteistöjen ylläpitokustannusten nousupaineesta johtuen tulee strategiakauden ensimmäisen vuoden aikana käynnistää pysyvien kustannussäästöihin tähtäävien toimenpite</w:t>
      </w:r>
      <w:r>
        <w:t>iden selvittäminen ja toimeenpano. Kustannusten hallitsemiseksi ja työpanosten tarkempaa kohdistamista varten tullaan selvittämään asiantuntijatyönä kiinteistöjen kunnossapidon hoitotasot työaikamitoituksineen. Selvityksessä huomioidaan kiinteistöjen prior</w:t>
      </w:r>
      <w:r>
        <w:t>isointi. Selvityksen tavoitteena on henkilökunnan luonnollisen poistuman kautta tarvittavan työpanoksen ja kaluston tarkempi määrittäminen ja kohdistaminen sekä ulkoisen työvoiman käytön arviointi oman henkilöstön poistuman myötä.</w:t>
      </w:r>
    </w:p>
    <w:p w:rsidR="00C81D05" w:rsidRDefault="00F517B1">
      <w:pPr>
        <w:pStyle w:val="Otsikko2"/>
        <w:spacing w:after="385"/>
        <w:ind w:left="792" w:right="25" w:hanging="432"/>
      </w:pPr>
      <w:bookmarkStart w:id="15" w:name="_Toc22342"/>
      <w:r>
        <w:t>Toimenpiteet osake- ja li</w:t>
      </w:r>
      <w:r>
        <w:t>ikehuoneistojen kustannusten hallitsemiseksi sekä sijoitetunpääoman tuoton turvaamiseksi</w:t>
      </w:r>
      <w:bookmarkEnd w:id="15"/>
    </w:p>
    <w:p w:rsidR="00C81D05" w:rsidRDefault="00F517B1">
      <w:pPr>
        <w:spacing w:after="510"/>
        <w:ind w:left="2549" w:right="25"/>
      </w:pPr>
      <w:r>
        <w:t>Liikehuoneistojen (13 kpl, 1419m2) ja osakehuoneistojen 81kpl, joista hautainhoitorahasto omistaa 36kpl, omistamista tulee harkita asunto- tai kiinteistöyhtiön elinkaa</w:t>
      </w:r>
      <w:r>
        <w:t>ren mukaan. Aktiiviseen huoneistojen ja tilojen hallintaan tulee kiinnittää entistä paremmin huomiota, jotta huoneistoihin kohdistuvat peruskorjaustarpeet voidaan välttää. Vuokratasot tulee pyrkiä asemoimaan lähemmäksi markkinaehtoista vuokratasoa huoneist</w:t>
      </w:r>
      <w:r>
        <w:t>ojen kustannusten kattamiseksi. Lisäksi seurakuntakeskuksissa tai niiden yhteydessä on yhteensä 25 asuntoa.</w:t>
      </w:r>
    </w:p>
    <w:p w:rsidR="00C81D05" w:rsidRDefault="00F517B1">
      <w:pPr>
        <w:pStyle w:val="Otsikko2"/>
        <w:spacing w:after="399"/>
        <w:ind w:left="794" w:right="25" w:hanging="434"/>
      </w:pPr>
      <w:bookmarkStart w:id="16" w:name="_Toc22343"/>
      <w:r>
        <w:t>Strategian keskeisimmät toimenpiteet</w:t>
      </w:r>
      <w:bookmarkEnd w:id="16"/>
    </w:p>
    <w:p w:rsidR="00C81D05" w:rsidRDefault="00F517B1">
      <w:pPr>
        <w:spacing w:after="1264"/>
        <w:ind w:left="2549" w:right="25"/>
      </w:pPr>
      <w:r>
        <w:rPr>
          <w:noProof/>
        </w:rPr>
        <w:drawing>
          <wp:anchor distT="0" distB="0" distL="114300" distR="114300" simplePos="0" relativeHeight="25167360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23"/>
                    <a:stretch>
                      <a:fillRect/>
                    </a:stretch>
                  </pic:blipFill>
                  <pic:spPr>
                    <a:xfrm>
                      <a:off x="0" y="0"/>
                      <a:ext cx="2639568" cy="100571"/>
                    </a:xfrm>
                    <a:prstGeom prst="rect">
                      <a:avLst/>
                    </a:prstGeom>
                  </pic:spPr>
                </pic:pic>
              </a:graphicData>
            </a:graphic>
          </wp:anchor>
        </w:drawing>
      </w:r>
      <w:r>
        <w:t>Sekä kiinteistöjen realisoinnit ja luopumiset, että pysyvien ylläpitokustannusten säästötoimenpiteet tulee alo</w:t>
      </w:r>
      <w:r>
        <w:t>ittaa viipymättä. Tavoitteellisena lähtökohtana on voimakkaimpien toimenpiteiden painottaminen strategiakauden ensimmäiselle kolmannekselle, jolla voidaan vähentää kiinteistökustannuksien kertymää koko strategiakauden aikana.</w:t>
      </w:r>
    </w:p>
    <w:p w:rsidR="00C81D05" w:rsidRDefault="00F517B1">
      <w:pPr>
        <w:pStyle w:val="Otsikko2"/>
        <w:spacing w:after="514"/>
        <w:ind w:left="794" w:right="25" w:hanging="434"/>
      </w:pPr>
      <w:bookmarkStart w:id="17" w:name="_Toc22344"/>
      <w:r>
        <w:t>Resursointi ja vastuut</w:t>
      </w:r>
      <w:bookmarkEnd w:id="17"/>
    </w:p>
    <w:p w:rsidR="00C81D05" w:rsidRDefault="00F517B1">
      <w:pPr>
        <w:spacing w:after="385"/>
        <w:ind w:left="2549" w:right="25"/>
      </w:pPr>
      <w:r>
        <w:t>Kiintei</w:t>
      </w:r>
      <w:r>
        <w:t>stöstrategian päivitystarpeista päättää vuosittain kirkkoneuvosto. Esityksen kirkkoneuvostolle tarvittavista muutoksista tekee kiinteistö- ja hautaustoimi.</w:t>
      </w:r>
    </w:p>
    <w:p w:rsidR="00C81D05" w:rsidRDefault="00F517B1">
      <w:pPr>
        <w:ind w:left="2549" w:right="25"/>
      </w:pPr>
      <w:r>
        <w:t>Kirkkovaltuuston strategian hyväksymistä koskevaan päätökseen sisältyy toimeksianto ryhtyä myyntiä koskeviin valmistelutoimenpiteisiin kategoriaan 3 kuuluvien kiinteistöjen osalta.  Myyntiä valmisteltaessa tulee erikseen huomioida lapsi- ja nuorisotyöstä a</w:t>
      </w:r>
      <w:r>
        <w:t>iheutuvat tilatarpeet, joiden osalta alueen toiminta tulee turvata. Kunkin kiinteistön myyntipäätöksen tekee kirkkovaltuusto neuvoston esityksestä.</w:t>
      </w:r>
    </w:p>
    <w:p w:rsidR="00C81D05" w:rsidRDefault="00F517B1">
      <w:pPr>
        <w:spacing w:after="515"/>
        <w:ind w:left="2549" w:right="25"/>
      </w:pPr>
      <w:r>
        <w:t>Kiinteistöstrategian toimeenpanosta vastaa Jyväskylän seurakunnan kiinteistö- ja hautaustoimi hallintojohtaj</w:t>
      </w:r>
      <w:r>
        <w:t>an johdolla. Toteutuksessa voidaan käyttää ulkopuolisia asiantuntijoita tarpeen mukaan.</w:t>
      </w:r>
    </w:p>
    <w:p w:rsidR="00C81D05" w:rsidRDefault="00F517B1">
      <w:pPr>
        <w:pStyle w:val="Otsikko1"/>
        <w:spacing w:after="618"/>
        <w:ind w:left="412" w:hanging="427"/>
      </w:pPr>
      <w:bookmarkStart w:id="18" w:name="_Toc22345"/>
      <w:r>
        <w:t>Henkilöstövaikutukset</w:t>
      </w:r>
      <w:bookmarkEnd w:id="18"/>
    </w:p>
    <w:p w:rsidR="00C81D05" w:rsidRDefault="00F517B1">
      <w:pPr>
        <w:ind w:left="2549" w:right="25"/>
      </w:pPr>
      <w:r>
        <w:rPr>
          <w:noProof/>
        </w:rPr>
        <w:drawing>
          <wp:anchor distT="0" distB="0" distL="114300" distR="114300" simplePos="0" relativeHeight="251674624"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8"/>
                    <a:stretch>
                      <a:fillRect/>
                    </a:stretch>
                  </pic:blipFill>
                  <pic:spPr>
                    <a:xfrm>
                      <a:off x="0" y="0"/>
                      <a:ext cx="2639568" cy="100571"/>
                    </a:xfrm>
                    <a:prstGeom prst="rect">
                      <a:avLst/>
                    </a:prstGeom>
                  </pic:spPr>
                </pic:pic>
              </a:graphicData>
            </a:graphic>
          </wp:anchor>
        </w:drawing>
      </w:r>
      <w:r>
        <w:t xml:space="preserve">Kiinteistöstrategian toimeenpano tulee vähentämään toimitilojen ja hoidettavien kiinteistöjen määrää ja tulee näin vaikuttamaan myös kiinteistöhenkilöstön työtehtäviin, tehtävien määrään ja mm. työntekemispaikkoihin. Ylläpidon ja kunnossapidon mitoitusten </w:t>
      </w:r>
      <w:r>
        <w:t>tarkistamisella tulee olemaan vastaavia vaikutuksia.  Kiinteistöjen karsiminen sekä ylläpitokustannusten mitoittaminen voi merkitä sitä, että kiinteistöistä vastannut henkilökunta siirretään muihin tehtäviin, ensisijaisesti työntekemispaikan muuttuessa mui</w:t>
      </w:r>
      <w:r>
        <w:t>lle kiinteistöille ja mahdollisesti myös muihin työtehtäviin. Sama vaikutus on mahdollinen myös leirikeskusten vähentämisellä, jolloin näiden tilojen hoidosta tai palveluista vastannut henkilökunta siirtyy muualle. Työtehtävien määrän väheneminen voi johta</w:t>
      </w:r>
      <w:r>
        <w:t>a myös henkilöstön määrän muutoksiin. Koska strategiakauden aikana näköpiirissä oleva henkilöstön melko mittava eläköityminen tulee mm. kiinteistötyöntekijöiden ryhmässä aiheuttamaan huomattavaa luonnollista poistumaa, henkilöstön määrän vähennykset voidaa</w:t>
      </w:r>
      <w:r>
        <w:t>n toteuttaa tätä kautta, eikä irtisanomisia ole tarpeen tehdä. Seurakunnan henkilöstösuunnitelman yhteydessä voidaan kiinteistömuutoksista aiheutuva henkilöstötarpeen väheneminen ja mahdolliset tehtävämuutokset huomioida ja niihin varautua riittävän pitkäl</w:t>
      </w:r>
      <w:r>
        <w:t>lä aikataululla.</w:t>
      </w:r>
    </w:p>
    <w:p w:rsidR="00C81D05" w:rsidRDefault="00F517B1">
      <w:pPr>
        <w:pStyle w:val="Otsikko1"/>
        <w:ind w:left="720" w:hanging="360"/>
      </w:pPr>
      <w:bookmarkStart w:id="19" w:name="_Toc22346"/>
      <w:r>
        <w:t>Kiinteistöstrategian seuranta ja päivittäminen</w:t>
      </w:r>
      <w:bookmarkEnd w:id="19"/>
    </w:p>
    <w:p w:rsidR="00C81D05" w:rsidRDefault="00F517B1">
      <w:pPr>
        <w:pStyle w:val="Otsikko2"/>
        <w:spacing w:after="521"/>
        <w:ind w:left="1080" w:right="25" w:hanging="720"/>
      </w:pPr>
      <w:bookmarkStart w:id="20" w:name="_Toc22347"/>
      <w:r>
        <w:t>Aikataulu ja raportointi</w:t>
      </w:r>
      <w:bookmarkEnd w:id="20"/>
    </w:p>
    <w:p w:rsidR="00C81D05" w:rsidRDefault="00F517B1">
      <w:pPr>
        <w:spacing w:after="625"/>
        <w:ind w:left="2890" w:right="25"/>
      </w:pPr>
      <w:r>
        <w:rPr>
          <w:noProof/>
        </w:rPr>
        <w:drawing>
          <wp:anchor distT="0" distB="0" distL="114300" distR="114300" simplePos="0" relativeHeight="251675648"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9"/>
                    <a:stretch>
                      <a:fillRect/>
                    </a:stretch>
                  </pic:blipFill>
                  <pic:spPr>
                    <a:xfrm>
                      <a:off x="0" y="0"/>
                      <a:ext cx="2639568" cy="100571"/>
                    </a:xfrm>
                    <a:prstGeom prst="rect">
                      <a:avLst/>
                    </a:prstGeom>
                  </pic:spPr>
                </pic:pic>
              </a:graphicData>
            </a:graphic>
          </wp:anchor>
        </w:drawing>
      </w:r>
      <w:r>
        <w:t>Kiinteistöstrategian toteutus ulottuu vuoteen 2020. Kunkin kiinteistön kohdalla strategiaan on tehty kappaleen 6 toteutussuunnitelmassa mainittu priorisointi- ja toim</w:t>
      </w:r>
      <w:r>
        <w:t xml:space="preserve">enpidesuunnitelma. Toteutussuunnitelman  3. kohdan tarkoittamien kiinteistöjen osalta konkreettisiin toimenpiteisiin ryhdytään välittömästi strategian hyväksymisen jälkeen, koska kiinteistöistä luopuminen tarkoittaa mm. toimintojen uudelleen järjestelyitä </w:t>
      </w:r>
      <w:r>
        <w:t>sekä eri viranomaistahojen kuulemista. Strategian etupainotteinen toimeenpano merkitsee sitä, että realisointitoimenpiteet kohdan 3 kiinteistöjen osalta tehdään strategiakauden ensimmäisen puoliskon aikana voimakkaimpien toimenpiteiden painottuessa ensimmä</w:t>
      </w:r>
      <w:r>
        <w:t>iselle kolmannekselle. Kohdassa 2 mainittujen kiinteistöjen osalta toteutussuunnitelman mukaiset hankesuunnitelmatyöt käynnistetään strategian hyväksymisen jälkeen.</w:t>
      </w:r>
    </w:p>
    <w:p w:rsidR="00C81D05" w:rsidRDefault="00F517B1">
      <w:pPr>
        <w:spacing w:after="6"/>
        <w:ind w:left="2890" w:right="25"/>
      </w:pPr>
      <w:r>
        <w:t>Strategian seuranta edellyttää seurantaa paitsi toimenpidetasolla,  myös kustannusvaikutust</w:t>
      </w:r>
      <w:r>
        <w:t>en ennakointia ja seurantaa. Strategian käytännön toteutus edellyttää toimenpiteiden ennakointia ja seurakunnan toiminnan ohjaamista ja suunnittelua ohjaamista riittävän hyvissä ajoin.</w:t>
      </w:r>
    </w:p>
    <w:p w:rsidR="00C81D05" w:rsidRDefault="00F517B1">
      <w:pPr>
        <w:spacing w:after="625"/>
        <w:ind w:left="2890" w:right="25"/>
      </w:pPr>
      <w:r>
        <w:t>Seuranta ja toimenpidesuunnitelmien teko on tarkoituksenmukaisinta sito</w:t>
      </w:r>
      <w:r>
        <w:t>a seurakunnan talouden suunnittelua ja seurantaa koskevaan päätöksentekoon.</w:t>
      </w:r>
    </w:p>
    <w:p w:rsidR="00C81D05" w:rsidRDefault="00F517B1">
      <w:pPr>
        <w:spacing w:after="0" w:line="259" w:lineRule="auto"/>
        <w:ind w:left="0" w:right="529" w:firstLine="0"/>
        <w:jc w:val="right"/>
      </w:pPr>
      <w:r>
        <w:t>Käytännön toimenpide- ja seuranta-aikataulu on seuraava:</w:t>
      </w:r>
    </w:p>
    <w:tbl>
      <w:tblPr>
        <w:tblStyle w:val="TableGrid"/>
        <w:tblW w:w="6132" w:type="dxa"/>
        <w:tblInd w:w="2837" w:type="dxa"/>
        <w:tblCellMar>
          <w:top w:w="0" w:type="dxa"/>
          <w:left w:w="0" w:type="dxa"/>
          <w:bottom w:w="0" w:type="dxa"/>
          <w:right w:w="0" w:type="dxa"/>
        </w:tblCellMar>
        <w:tblLook w:val="04A0" w:firstRow="1" w:lastRow="0" w:firstColumn="1" w:lastColumn="0" w:noHBand="0" w:noVBand="1"/>
      </w:tblPr>
      <w:tblGrid>
        <w:gridCol w:w="2203"/>
        <w:gridCol w:w="3929"/>
      </w:tblGrid>
      <w:tr w:rsidR="00C81D05">
        <w:trPr>
          <w:trHeight w:val="1122"/>
        </w:trPr>
        <w:tc>
          <w:tcPr>
            <w:tcW w:w="2203" w:type="dxa"/>
            <w:tcBorders>
              <w:top w:val="nil"/>
              <w:left w:val="nil"/>
              <w:bottom w:val="nil"/>
              <w:right w:val="nil"/>
            </w:tcBorders>
          </w:tcPr>
          <w:p w:rsidR="00C81D05" w:rsidRDefault="00F517B1">
            <w:pPr>
              <w:spacing w:after="0" w:line="259" w:lineRule="auto"/>
              <w:ind w:left="43" w:firstLine="0"/>
              <w:jc w:val="left"/>
            </w:pPr>
            <w:r>
              <w:t>2010 maaliskuu</w:t>
            </w:r>
          </w:p>
        </w:tc>
        <w:tc>
          <w:tcPr>
            <w:tcW w:w="3929" w:type="dxa"/>
            <w:tcBorders>
              <w:top w:val="nil"/>
              <w:left w:val="nil"/>
              <w:bottom w:val="nil"/>
              <w:right w:val="nil"/>
            </w:tcBorders>
          </w:tcPr>
          <w:p w:rsidR="00C81D05" w:rsidRDefault="00F517B1">
            <w:pPr>
              <w:spacing w:after="0" w:line="259" w:lineRule="auto"/>
              <w:ind w:left="0" w:firstLine="0"/>
              <w:jc w:val="left"/>
            </w:pPr>
            <w:r>
              <w:t>Kiinteistöstrategian hyväksyminen päätös 3. kategoriaan kuuluvien kiinteistöjen realisoinnista (KV)</w:t>
            </w:r>
          </w:p>
        </w:tc>
      </w:tr>
      <w:tr w:rsidR="00C81D05">
        <w:trPr>
          <w:trHeight w:val="811"/>
        </w:trPr>
        <w:tc>
          <w:tcPr>
            <w:tcW w:w="2203" w:type="dxa"/>
            <w:tcBorders>
              <w:top w:val="nil"/>
              <w:left w:val="nil"/>
              <w:bottom w:val="nil"/>
              <w:right w:val="nil"/>
            </w:tcBorders>
            <w:vAlign w:val="center"/>
          </w:tcPr>
          <w:p w:rsidR="00C81D05" w:rsidRDefault="00F517B1">
            <w:pPr>
              <w:spacing w:after="0" w:line="259" w:lineRule="auto"/>
              <w:ind w:left="0" w:firstLine="0"/>
              <w:jc w:val="left"/>
            </w:pPr>
            <w:r>
              <w:t>2010  maaliskuu</w:t>
            </w:r>
          </w:p>
        </w:tc>
        <w:tc>
          <w:tcPr>
            <w:tcW w:w="3929" w:type="dxa"/>
            <w:tcBorders>
              <w:top w:val="nil"/>
              <w:left w:val="nil"/>
              <w:bottom w:val="nil"/>
              <w:right w:val="nil"/>
            </w:tcBorders>
            <w:vAlign w:val="bottom"/>
          </w:tcPr>
          <w:p w:rsidR="00C81D05" w:rsidRDefault="00F517B1">
            <w:pPr>
              <w:spacing w:after="0" w:line="259" w:lineRule="auto"/>
              <w:ind w:left="0" w:firstLine="0"/>
              <w:jc w:val="left"/>
            </w:pPr>
            <w:r>
              <w:t>realisointien valmistelun käynnistäminen (HJ)</w:t>
            </w:r>
          </w:p>
        </w:tc>
      </w:tr>
      <w:tr w:rsidR="00C81D05">
        <w:trPr>
          <w:trHeight w:val="1001"/>
        </w:trPr>
        <w:tc>
          <w:tcPr>
            <w:tcW w:w="2203" w:type="dxa"/>
            <w:tcBorders>
              <w:top w:val="nil"/>
              <w:left w:val="nil"/>
              <w:bottom w:val="nil"/>
              <w:right w:val="nil"/>
            </w:tcBorders>
          </w:tcPr>
          <w:p w:rsidR="00C81D05" w:rsidRDefault="00F517B1">
            <w:pPr>
              <w:spacing w:after="0" w:line="259" w:lineRule="auto"/>
              <w:ind w:left="43" w:firstLine="0"/>
              <w:jc w:val="left"/>
            </w:pPr>
            <w:r>
              <w:t>2010 huhtikuu</w:t>
            </w:r>
          </w:p>
        </w:tc>
        <w:tc>
          <w:tcPr>
            <w:tcW w:w="3929" w:type="dxa"/>
            <w:tcBorders>
              <w:top w:val="nil"/>
              <w:left w:val="nil"/>
              <w:bottom w:val="nil"/>
              <w:right w:val="nil"/>
            </w:tcBorders>
          </w:tcPr>
          <w:p w:rsidR="00C81D05" w:rsidRDefault="00F517B1">
            <w:pPr>
              <w:spacing w:after="0" w:line="354" w:lineRule="auto"/>
              <w:ind w:left="0" w:firstLine="0"/>
            </w:pPr>
            <w:r>
              <w:t>talousarvion juurikokous, toimeenpanosuunnitelma 2010-2011</w:t>
            </w:r>
          </w:p>
          <w:p w:rsidR="00C81D05" w:rsidRDefault="00F517B1">
            <w:pPr>
              <w:spacing w:after="0" w:line="259" w:lineRule="auto"/>
              <w:ind w:left="0" w:firstLine="0"/>
              <w:jc w:val="left"/>
            </w:pPr>
            <w:r>
              <w:t>tapahtuvista realisoinneista</w:t>
            </w:r>
          </w:p>
        </w:tc>
      </w:tr>
      <w:tr w:rsidR="00C81D05">
        <w:trPr>
          <w:trHeight w:val="308"/>
        </w:trPr>
        <w:tc>
          <w:tcPr>
            <w:tcW w:w="2203" w:type="dxa"/>
            <w:tcBorders>
              <w:top w:val="nil"/>
              <w:left w:val="nil"/>
              <w:bottom w:val="nil"/>
              <w:right w:val="nil"/>
            </w:tcBorders>
          </w:tcPr>
          <w:p w:rsidR="00C81D05" w:rsidRDefault="00F517B1">
            <w:pPr>
              <w:spacing w:after="0" w:line="259" w:lineRule="auto"/>
              <w:ind w:left="0" w:firstLine="0"/>
              <w:jc w:val="left"/>
            </w:pPr>
            <w:r>
              <w:t>2010  huhtikuu</w:t>
            </w:r>
          </w:p>
        </w:tc>
        <w:tc>
          <w:tcPr>
            <w:tcW w:w="3929" w:type="dxa"/>
            <w:tcBorders>
              <w:top w:val="nil"/>
              <w:left w:val="nil"/>
              <w:bottom w:val="nil"/>
              <w:right w:val="nil"/>
            </w:tcBorders>
          </w:tcPr>
          <w:p w:rsidR="00C81D05" w:rsidRDefault="00F517B1">
            <w:pPr>
              <w:spacing w:after="0" w:line="259" w:lineRule="auto"/>
              <w:ind w:left="0" w:firstLine="0"/>
              <w:jc w:val="left"/>
            </w:pPr>
            <w:r>
              <w:t>käynnistetään kategoriaan 2 kuuluvien</w:t>
            </w:r>
          </w:p>
        </w:tc>
      </w:tr>
    </w:tbl>
    <w:p w:rsidR="00C81D05" w:rsidRDefault="00F517B1">
      <w:pPr>
        <w:spacing w:line="240" w:lineRule="auto"/>
        <w:ind w:left="5050" w:right="25"/>
      </w:pPr>
      <w:r>
        <w:t>kiinteistöjen jatkoselvittely ja hankesuunnittelu (KN)</w:t>
      </w:r>
    </w:p>
    <w:p w:rsidR="00C81D05" w:rsidRDefault="00F517B1">
      <w:pPr>
        <w:tabs>
          <w:tab w:val="center" w:pos="3083"/>
          <w:tab w:val="center" w:pos="5075"/>
        </w:tabs>
        <w:spacing w:line="259" w:lineRule="auto"/>
        <w:ind w:left="0" w:firstLine="0"/>
        <w:jc w:val="left"/>
      </w:pPr>
      <w:r>
        <w:rPr>
          <w:rFonts w:ascii="Calibri" w:eastAsia="Calibri" w:hAnsi="Calibri" w:cs="Calibri"/>
        </w:rPr>
        <w:tab/>
      </w:r>
      <w:r>
        <w:t xml:space="preserve">2011 </w:t>
      </w:r>
      <w:r>
        <w:tab/>
        <w:t>huhtikuu ja vuosittain edelleen</w:t>
      </w:r>
    </w:p>
    <w:p w:rsidR="00C81D05" w:rsidRDefault="00F517B1">
      <w:pPr>
        <w:spacing w:after="95" w:line="265" w:lineRule="auto"/>
        <w:ind w:left="3346"/>
        <w:jc w:val="center"/>
      </w:pPr>
      <w:r>
        <w:t>talousarvion juurikokous</w:t>
      </w:r>
    </w:p>
    <w:p w:rsidR="00C81D05" w:rsidRDefault="00F517B1">
      <w:pPr>
        <w:tabs>
          <w:tab w:val="center" w:pos="3631"/>
          <w:tab w:val="center" w:pos="6270"/>
        </w:tabs>
        <w:spacing w:after="0" w:line="265" w:lineRule="auto"/>
        <w:ind w:left="0" w:firstLine="0"/>
        <w:jc w:val="left"/>
      </w:pPr>
      <w:r>
        <w:rPr>
          <w:rFonts w:ascii="Calibri" w:eastAsia="Calibri" w:hAnsi="Calibri" w:cs="Calibri"/>
        </w:rPr>
        <w:tab/>
      </w:r>
      <w:r>
        <w:t>.</w:t>
      </w:r>
      <w:r>
        <w:tab/>
        <w:t>toimeenpanosuunnitelma</w:t>
      </w:r>
    </w:p>
    <w:p w:rsidR="00C81D05" w:rsidRDefault="00F517B1">
      <w:pPr>
        <w:spacing w:line="240" w:lineRule="auto"/>
        <w:ind w:left="5050" w:right="25"/>
      </w:pPr>
      <w:r>
        <w:t>talousarviokaudella (seuraava vuosi) tapahtuvista realisoinneista</w:t>
      </w:r>
    </w:p>
    <w:p w:rsidR="00C81D05" w:rsidRDefault="00F517B1">
      <w:pPr>
        <w:spacing w:line="259" w:lineRule="auto"/>
        <w:ind w:left="2136" w:right="25"/>
      </w:pPr>
      <w:r>
        <w:t xml:space="preserve">       2011 toukokuu ja vuosittain edelleen</w:t>
      </w:r>
    </w:p>
    <w:p w:rsidR="00C81D05" w:rsidRDefault="00F517B1">
      <w:pPr>
        <w:spacing w:after="499" w:line="236" w:lineRule="auto"/>
        <w:ind w:left="5045" w:right="25"/>
      </w:pPr>
      <w:r>
        <w:rPr>
          <w:noProof/>
        </w:rPr>
        <w:drawing>
          <wp:anchor distT="0" distB="0" distL="114300" distR="114300" simplePos="0" relativeHeight="251676672"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0"/>
                    <a:stretch>
                      <a:fillRect/>
                    </a:stretch>
                  </pic:blipFill>
                  <pic:spPr>
                    <a:xfrm>
                      <a:off x="0" y="0"/>
                      <a:ext cx="2639568" cy="100571"/>
                    </a:xfrm>
                    <a:prstGeom prst="rect">
                      <a:avLst/>
                    </a:prstGeom>
                  </pic:spPr>
                </pic:pic>
              </a:graphicData>
            </a:graphic>
          </wp:anchor>
        </w:drawing>
      </w:r>
      <w:r>
        <w:t>tilinpäätöksen hyväksyminen, sisältää kiinteistöstrategian seurantaraportin</w:t>
      </w:r>
    </w:p>
    <w:p w:rsidR="00C81D05" w:rsidRDefault="00F517B1">
      <w:pPr>
        <w:spacing w:line="259" w:lineRule="auto"/>
        <w:ind w:left="2890" w:right="25"/>
      </w:pPr>
      <w:r>
        <w:t>2011 loppuun mennessä</w:t>
      </w:r>
    </w:p>
    <w:p w:rsidR="00C81D05" w:rsidRDefault="00F517B1">
      <w:pPr>
        <w:spacing w:after="994" w:line="240" w:lineRule="auto"/>
        <w:ind w:left="5050"/>
        <w:jc w:val="left"/>
      </w:pPr>
      <w:r>
        <w:t>jatkoselvittelyn ja hankesuunnittelun edellyttämät päätökset kategorian 2 kiinteistöjen osalta (KV)</w:t>
      </w:r>
    </w:p>
    <w:p w:rsidR="00C81D05" w:rsidRDefault="00F517B1">
      <w:pPr>
        <w:ind w:left="2890" w:right="25"/>
      </w:pPr>
      <w:r>
        <w:t>Jos strategian päälinjat ja hyväksymisen yhteydessä sovitt</w:t>
      </w:r>
      <w:r>
        <w:t>u aikataulu edellyttävät päivittämistä, tämä valmistelu ja päätöksenteko on kytkettävissä talouden hallintaa koskevaan seurakunnan päätöksentekoaikatauluun.</w:t>
      </w:r>
    </w:p>
    <w:p w:rsidR="00C81D05" w:rsidRDefault="00F517B1">
      <w:pPr>
        <w:spacing w:after="405"/>
        <w:ind w:left="2890" w:right="25"/>
      </w:pPr>
      <w:r>
        <w:rPr>
          <w:noProof/>
        </w:rPr>
        <w:drawing>
          <wp:anchor distT="0" distB="0" distL="114300" distR="114300" simplePos="0" relativeHeight="251677696"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1"/>
                    <a:stretch>
                      <a:fillRect/>
                    </a:stretch>
                  </pic:blipFill>
                  <pic:spPr>
                    <a:xfrm>
                      <a:off x="0" y="0"/>
                      <a:ext cx="2639568" cy="100571"/>
                    </a:xfrm>
                    <a:prstGeom prst="rect">
                      <a:avLst/>
                    </a:prstGeom>
                  </pic:spPr>
                </pic:pic>
              </a:graphicData>
            </a:graphic>
          </wp:anchor>
        </w:drawing>
      </w:r>
      <w:r>
        <w:t>Liite 1</w:t>
      </w:r>
    </w:p>
    <w:p w:rsidR="00C81D05" w:rsidRDefault="00F517B1">
      <w:pPr>
        <w:spacing w:after="0" w:line="259" w:lineRule="auto"/>
        <w:ind w:left="-74" w:right="-268" w:firstLine="0"/>
        <w:jc w:val="left"/>
      </w:pPr>
      <w:r>
        <w:rPr>
          <w:noProof/>
        </w:rPr>
        <w:drawing>
          <wp:inline distT="0" distB="0" distL="0" distR="0">
            <wp:extent cx="6001513" cy="6964681"/>
            <wp:effectExtent l="0" t="0" r="0" b="0"/>
            <wp:docPr id="21572" name="Picture 21572"/>
            <wp:cNvGraphicFramePr/>
            <a:graphic xmlns:a="http://schemas.openxmlformats.org/drawingml/2006/main">
              <a:graphicData uri="http://schemas.openxmlformats.org/drawingml/2006/picture">
                <pic:pic xmlns:pic="http://schemas.openxmlformats.org/drawingml/2006/picture">
                  <pic:nvPicPr>
                    <pic:cNvPr id="21572" name="Picture 21572"/>
                    <pic:cNvPicPr/>
                  </pic:nvPicPr>
                  <pic:blipFill>
                    <a:blip r:embed="rId24"/>
                    <a:stretch>
                      <a:fillRect/>
                    </a:stretch>
                  </pic:blipFill>
                  <pic:spPr>
                    <a:xfrm>
                      <a:off x="0" y="0"/>
                      <a:ext cx="6001513" cy="6964681"/>
                    </a:xfrm>
                    <a:prstGeom prst="rect">
                      <a:avLst/>
                    </a:prstGeom>
                  </pic:spPr>
                </pic:pic>
              </a:graphicData>
            </a:graphic>
          </wp:inline>
        </w:drawing>
      </w:r>
    </w:p>
    <w:p w:rsidR="00C81D05" w:rsidRDefault="00F517B1">
      <w:pPr>
        <w:spacing w:after="105" w:line="259" w:lineRule="auto"/>
        <w:ind w:left="-5"/>
        <w:jc w:val="left"/>
      </w:pPr>
      <w:r>
        <w:rPr>
          <w:b/>
          <w:sz w:val="20"/>
        </w:rPr>
        <w:t>Kiinteistöstrategia toteutuu:</w:t>
      </w:r>
    </w:p>
    <w:p w:rsidR="00C81D05" w:rsidRDefault="00F517B1">
      <w:pPr>
        <w:spacing w:after="109" w:line="249" w:lineRule="auto"/>
        <w:ind w:left="0" w:firstLine="0"/>
        <w:jc w:val="left"/>
      </w:pPr>
      <w:r>
        <w:rPr>
          <w:sz w:val="20"/>
        </w:rPr>
        <w:t>Yleiset kehitysolettamat:</w:t>
      </w:r>
    </w:p>
    <w:p w:rsidR="00C81D05" w:rsidRDefault="00F517B1">
      <w:pPr>
        <w:numPr>
          <w:ilvl w:val="0"/>
          <w:numId w:val="5"/>
        </w:numPr>
        <w:spacing w:after="4" w:line="249" w:lineRule="auto"/>
        <w:ind w:hanging="360"/>
        <w:jc w:val="left"/>
      </w:pPr>
      <w:r>
        <w:rPr>
          <w:sz w:val="20"/>
        </w:rPr>
        <w:t>verotulot: kehityksen toteutuminen edellyttää, että seurakunnan jäsenmäärän kehityksessä ei tapahdu merkittäviä muutoksia, veroprosentti 1,35 %, tulojen kehitys 2011 +3,5 %, 2012 +3,9 %, 2013- +3,5 %</w:t>
      </w:r>
    </w:p>
    <w:p w:rsidR="00C81D05" w:rsidRDefault="00F517B1">
      <w:pPr>
        <w:numPr>
          <w:ilvl w:val="0"/>
          <w:numId w:val="5"/>
        </w:numPr>
        <w:spacing w:after="28" w:line="249" w:lineRule="auto"/>
        <w:ind w:hanging="360"/>
        <w:jc w:val="left"/>
      </w:pPr>
      <w:r>
        <w:rPr>
          <w:sz w:val="20"/>
        </w:rPr>
        <w:t>toimintatuotot: +3 % siten, että se kertyy nettomenoraam</w:t>
      </w:r>
      <w:r>
        <w:rPr>
          <w:sz w:val="20"/>
        </w:rPr>
        <w:t>ien ulkopuolisista tuloeristä, vuokratalojen poistuvana tulona on huomioitu vuosittain 388.100 € vuodesta 2016 alkaen.</w:t>
      </w:r>
    </w:p>
    <w:p w:rsidR="00C81D05" w:rsidRDefault="00F517B1">
      <w:pPr>
        <w:numPr>
          <w:ilvl w:val="0"/>
          <w:numId w:val="5"/>
        </w:numPr>
        <w:spacing w:after="4" w:line="249" w:lineRule="auto"/>
        <w:ind w:hanging="360"/>
        <w:jc w:val="left"/>
      </w:pPr>
      <w:r>
        <w:rPr>
          <w:sz w:val="20"/>
        </w:rPr>
        <w:t>henkilöstökulut: +3 %, laskelmat eivät sisällä henkilöstöleikkauksia.</w:t>
      </w:r>
    </w:p>
    <w:p w:rsidR="00C81D05" w:rsidRDefault="00F517B1">
      <w:pPr>
        <w:numPr>
          <w:ilvl w:val="0"/>
          <w:numId w:val="5"/>
        </w:numPr>
        <w:spacing w:after="4" w:line="249" w:lineRule="auto"/>
        <w:ind w:hanging="360"/>
        <w:jc w:val="left"/>
      </w:pPr>
      <w:r>
        <w:rPr>
          <w:sz w:val="20"/>
        </w:rPr>
        <w:t>muut toimintakulut: +2 %</w:t>
      </w:r>
    </w:p>
    <w:p w:rsidR="00C81D05" w:rsidRDefault="00F517B1">
      <w:pPr>
        <w:numPr>
          <w:ilvl w:val="0"/>
          <w:numId w:val="5"/>
        </w:numPr>
        <w:spacing w:after="26" w:line="249" w:lineRule="auto"/>
        <w:ind w:hanging="360"/>
        <w:jc w:val="left"/>
      </w:pPr>
      <w:r>
        <w:rPr>
          <w:sz w:val="20"/>
        </w:rPr>
        <w:t>kiinteistöjen ylläpitokulut: +5 %, vähenny</w:t>
      </w:r>
      <w:r>
        <w:rPr>
          <w:sz w:val="20"/>
        </w:rPr>
        <w:t>ksenä vuosittain poistuvan kiinteistöalan mukainen %-osuus ylläpitokuluista</w:t>
      </w:r>
    </w:p>
    <w:p w:rsidR="00C81D05" w:rsidRDefault="00F517B1">
      <w:pPr>
        <w:numPr>
          <w:ilvl w:val="0"/>
          <w:numId w:val="5"/>
        </w:numPr>
        <w:spacing w:after="27" w:line="249" w:lineRule="auto"/>
        <w:ind w:hanging="360"/>
        <w:jc w:val="left"/>
      </w:pPr>
      <w:r>
        <w:rPr>
          <w:sz w:val="20"/>
        </w:rPr>
        <w:t>poistot: lähtökohtana nykyiset rakennusten suunnitelmapoistot, vähennyksenä vuosittain poistuvan kiinteistöalan keskimääräinen poistosumma, lisäyksenä kumulatiivisesti vuosittaiste</w:t>
      </w:r>
      <w:r>
        <w:rPr>
          <w:sz w:val="20"/>
        </w:rPr>
        <w:t>n korjausinvestointien keskimääräiset poistot laskettuna 40 vuoden poistoajalle (2,5 %/v)</w:t>
      </w:r>
    </w:p>
    <w:p w:rsidR="00C81D05" w:rsidRDefault="00F517B1">
      <w:pPr>
        <w:numPr>
          <w:ilvl w:val="0"/>
          <w:numId w:val="5"/>
        </w:numPr>
        <w:spacing w:after="27" w:line="249" w:lineRule="auto"/>
        <w:ind w:hanging="360"/>
        <w:jc w:val="left"/>
      </w:pPr>
      <w:r>
        <w:rPr>
          <w:sz w:val="20"/>
        </w:rPr>
        <w:t>investointien nettorahavirta: vuosikate + poistuvan kiinteistöalan myyntitulo (keskimääräinen tasearvo) – vuotuiset korjausinvestoinnit</w:t>
      </w:r>
    </w:p>
    <w:p w:rsidR="00C81D05" w:rsidRDefault="00F517B1">
      <w:pPr>
        <w:numPr>
          <w:ilvl w:val="0"/>
          <w:numId w:val="5"/>
        </w:numPr>
        <w:spacing w:after="441" w:line="249" w:lineRule="auto"/>
        <w:ind w:hanging="360"/>
        <w:jc w:val="left"/>
      </w:pPr>
      <w:r>
        <w:rPr>
          <w:sz w:val="20"/>
        </w:rPr>
        <w:t>investoinnit: kiinteistöstrate</w:t>
      </w:r>
      <w:r>
        <w:rPr>
          <w:sz w:val="20"/>
        </w:rPr>
        <w:t>gian mukaiset korjausinvestoinnit + 500.000 €/v</w:t>
      </w:r>
    </w:p>
    <w:p w:rsidR="00C81D05" w:rsidRDefault="00F517B1">
      <w:pPr>
        <w:spacing w:after="105" w:line="259" w:lineRule="auto"/>
        <w:ind w:left="-5"/>
        <w:jc w:val="left"/>
      </w:pPr>
      <w:r>
        <w:rPr>
          <w:b/>
          <w:sz w:val="20"/>
        </w:rPr>
        <w:t>Talouden kehityksen arviointi:</w:t>
      </w:r>
    </w:p>
    <w:p w:rsidR="00C81D05" w:rsidRDefault="00F517B1">
      <w:pPr>
        <w:numPr>
          <w:ilvl w:val="0"/>
          <w:numId w:val="5"/>
        </w:numPr>
        <w:spacing w:after="4" w:line="249" w:lineRule="auto"/>
        <w:ind w:hanging="360"/>
        <w:jc w:val="left"/>
      </w:pPr>
      <w:r>
        <w:rPr>
          <w:sz w:val="20"/>
        </w:rPr>
        <w:t>Seurakunnan toimintakulut pysyvät verotulojen yläpuolella tarkastelujakson loppupuolelle saakka. Kestävän kehityksen aikaansaaminen edellyttää tasapainottavia lisätoimenpiteitä (henkilöstökulujen ja muiden toimintakulujen alentaminen, toimintatuottojen lis</w:t>
      </w:r>
      <w:r>
        <w:rPr>
          <w:sz w:val="20"/>
        </w:rPr>
        <w:t>ääminen).</w:t>
      </w:r>
    </w:p>
    <w:p w:rsidR="00C81D05" w:rsidRDefault="00F517B1">
      <w:pPr>
        <w:numPr>
          <w:ilvl w:val="0"/>
          <w:numId w:val="5"/>
        </w:numPr>
        <w:spacing w:after="4" w:line="249" w:lineRule="auto"/>
        <w:ind w:hanging="360"/>
        <w:jc w:val="left"/>
      </w:pPr>
      <w:r>
        <w:rPr>
          <w:noProof/>
        </w:rPr>
        <w:drawing>
          <wp:anchor distT="0" distB="0" distL="114300" distR="114300" simplePos="0" relativeHeight="25167872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2"/>
                    <a:stretch>
                      <a:fillRect/>
                    </a:stretch>
                  </pic:blipFill>
                  <pic:spPr>
                    <a:xfrm>
                      <a:off x="0" y="0"/>
                      <a:ext cx="2639568" cy="100571"/>
                    </a:xfrm>
                    <a:prstGeom prst="rect">
                      <a:avLst/>
                    </a:prstGeom>
                  </pic:spPr>
                </pic:pic>
              </a:graphicData>
            </a:graphic>
          </wp:anchor>
        </w:drawing>
      </w:r>
      <w:r>
        <w:rPr>
          <w:sz w:val="20"/>
        </w:rPr>
        <w:t>Kiinteistöjen teknisten ylläpitokulujen (ilman henkilöstökuluja) kokonaiskasvu tarkastelujakson aikana on 19,7 %. Tilanteeseen johtaa kiinteistömassan supistaminen huolimatta siitä, että yksikkökustannuksiin on laskettu vuotuinen 5 %:n nousu.</w:t>
      </w:r>
    </w:p>
    <w:p w:rsidR="00C81D05" w:rsidRDefault="00F517B1">
      <w:pPr>
        <w:numPr>
          <w:ilvl w:val="0"/>
          <w:numId w:val="5"/>
        </w:numPr>
        <w:spacing w:after="4" w:line="249" w:lineRule="auto"/>
        <w:ind w:hanging="360"/>
        <w:jc w:val="left"/>
      </w:pPr>
      <w:r>
        <w:rPr>
          <w:sz w:val="20"/>
        </w:rPr>
        <w:t>To</w:t>
      </w:r>
      <w:r>
        <w:rPr>
          <w:sz w:val="20"/>
        </w:rPr>
        <w:t>imintatuottojen 3 %:n vuotuisen kasvuolettaman tulee kertyä raamibudjetoinnin ulkopuolisista tuloeristä. Vuokrataloista luopuminen huomioitu 388.100 €:n suuruisena toimintatuottojen alennuksena vuodesta 2016 alkaen.</w:t>
      </w:r>
    </w:p>
    <w:p w:rsidR="00C81D05" w:rsidRDefault="00F517B1">
      <w:pPr>
        <w:numPr>
          <w:ilvl w:val="0"/>
          <w:numId w:val="5"/>
        </w:numPr>
        <w:spacing w:after="4" w:line="249" w:lineRule="auto"/>
        <w:ind w:hanging="360"/>
        <w:jc w:val="left"/>
      </w:pPr>
      <w:r>
        <w:rPr>
          <w:sz w:val="20"/>
        </w:rPr>
        <w:t>Vuosikate kattaa käyttöomaisuuspoistot v</w:t>
      </w:r>
      <w:r>
        <w:rPr>
          <w:sz w:val="20"/>
        </w:rPr>
        <w:t>uoteen 2015 saakka. Tämän jälkeen vuosikate heikkenee toimintatuottojen alenemisen seurauksena eikä enää riitä kattamaan poistoja.</w:t>
      </w:r>
    </w:p>
    <w:p w:rsidR="00C81D05" w:rsidRDefault="00F517B1">
      <w:pPr>
        <w:numPr>
          <w:ilvl w:val="0"/>
          <w:numId w:val="5"/>
        </w:numPr>
        <w:spacing w:after="4" w:line="249" w:lineRule="auto"/>
        <w:ind w:hanging="360"/>
        <w:jc w:val="left"/>
      </w:pPr>
      <w:r>
        <w:rPr>
          <w:sz w:val="20"/>
        </w:rPr>
        <w:t xml:space="preserve">Poistosumma kasvaa peruskorjausinvestoinneista huolimatta hitaasti vuoteen 2016 saakka kiinteistövähennysten ansiosta. Tämän </w:t>
      </w:r>
      <w:r>
        <w:rPr>
          <w:sz w:val="20"/>
        </w:rPr>
        <w:t>jälkeen poistojen määrä kääntyy edelleen jatkuvien investointien johdosta kasvuun.</w:t>
      </w:r>
    </w:p>
    <w:p w:rsidR="00C81D05" w:rsidRDefault="00F517B1">
      <w:pPr>
        <w:numPr>
          <w:ilvl w:val="0"/>
          <w:numId w:val="5"/>
        </w:numPr>
        <w:spacing w:after="4" w:line="249" w:lineRule="auto"/>
        <w:ind w:hanging="360"/>
        <w:jc w:val="left"/>
      </w:pPr>
      <w:r>
        <w:rPr>
          <w:sz w:val="20"/>
        </w:rPr>
        <w:t>Tulos on lievästi alijäämäinen vuoteen 2015 saakka. Tämän jälkeen alijäämät kääntyvät kasvuun poistojen ylittäessä vuosikatteen. Tarkastelujakson aikana katettavien alijäämi</w:t>
      </w:r>
      <w:r>
        <w:rPr>
          <w:sz w:val="20"/>
        </w:rPr>
        <w:t>en yhteissummaksi muodostuu 10,1 milj. euroa.</w:t>
      </w:r>
    </w:p>
    <w:p w:rsidR="00C81D05" w:rsidRDefault="00F517B1">
      <w:pPr>
        <w:numPr>
          <w:ilvl w:val="0"/>
          <w:numId w:val="5"/>
        </w:numPr>
        <w:spacing w:after="4" w:line="249" w:lineRule="auto"/>
        <w:ind w:hanging="360"/>
        <w:jc w:val="left"/>
      </w:pPr>
      <w:r>
        <w:rPr>
          <w:sz w:val="20"/>
        </w:rPr>
        <w:t>Investointien kokonaissumma tarkastelujakson aikana on yhteensä 29,7 milj. euroa.</w:t>
      </w:r>
    </w:p>
    <w:p w:rsidR="00C81D05" w:rsidRDefault="00F517B1">
      <w:pPr>
        <w:numPr>
          <w:ilvl w:val="0"/>
          <w:numId w:val="5"/>
        </w:numPr>
        <w:spacing w:after="4" w:line="249" w:lineRule="auto"/>
        <w:ind w:hanging="360"/>
        <w:jc w:val="left"/>
      </w:pPr>
      <w:r>
        <w:rPr>
          <w:sz w:val="20"/>
        </w:rPr>
        <w:t>Kiinteistöomaisuuden vähentämisestä saatava laskennallinen tuotto on yhteensä 6,6 milj. euroa.</w:t>
      </w:r>
    </w:p>
    <w:p w:rsidR="00C81D05" w:rsidRDefault="00F517B1">
      <w:pPr>
        <w:numPr>
          <w:ilvl w:val="0"/>
          <w:numId w:val="5"/>
        </w:numPr>
        <w:spacing w:after="4" w:line="249" w:lineRule="auto"/>
        <w:ind w:hanging="360"/>
        <w:jc w:val="left"/>
      </w:pPr>
      <w:r>
        <w:rPr>
          <w:sz w:val="20"/>
        </w:rPr>
        <w:t>Investointien nettorahavirta on vuosina 2011-2016 tasapainossa realisoitavasta kiinteistöomaisuudesta saatavien tuottojen avulla. Tämän jälkeen nettorahavirta kehittyy negatiivisesti. Tarkastelujakson aikana investointien nettorahaviran alijäämä on yhteens</w:t>
      </w:r>
      <w:r>
        <w:rPr>
          <w:sz w:val="20"/>
        </w:rPr>
        <w:t>ä n. 14,5 milj. euroa.</w:t>
      </w:r>
    </w:p>
    <w:p w:rsidR="00C81D05" w:rsidRDefault="00F517B1">
      <w:pPr>
        <w:numPr>
          <w:ilvl w:val="0"/>
          <w:numId w:val="5"/>
        </w:numPr>
        <w:spacing w:after="4" w:line="249" w:lineRule="auto"/>
        <w:ind w:hanging="360"/>
        <w:jc w:val="left"/>
      </w:pPr>
      <w:r>
        <w:rPr>
          <w:sz w:val="20"/>
        </w:rPr>
        <w:t xml:space="preserve">Seurakunnan taseeseen sisältyvät aikaisempien vuosien ylijäämät ovat tarkastelujaksona aikana yhteensä 28,2 milj. euroa. Katettavien alijäämien ja investointien negatiivisen nettorahavirran yhteismääräksi muodostuu 24,6 milj. euroa. </w:t>
      </w:r>
      <w:r>
        <w:rPr>
          <w:sz w:val="20"/>
        </w:rPr>
        <w:t>Seurakunnan kokonaistalouden kannalta jäljelle jäävä 3,6 milj. euron liikkumavara on riittämätön jo maksuvalmiuden säilymisen kannalta puhumattakaan kokonaistalouteen vaikuttavista yllättävistä muutoksista tai tarkastelukauden jälkeiseen aikaan ajoittuvist</w:t>
      </w:r>
      <w:r>
        <w:rPr>
          <w:sz w:val="20"/>
        </w:rPr>
        <w:t>a korjausinvestoinneista sellaisiin uudempiin tai äskettäin korjattuihin kiinteistöihin, joihin tarkastelukauden aikana ei kohdistu korjauksia.</w:t>
      </w:r>
    </w:p>
    <w:p w:rsidR="00C81D05" w:rsidRDefault="00F517B1">
      <w:pPr>
        <w:numPr>
          <w:ilvl w:val="0"/>
          <w:numId w:val="5"/>
        </w:numPr>
        <w:spacing w:after="4" w:line="249" w:lineRule="auto"/>
        <w:ind w:hanging="360"/>
        <w:jc w:val="left"/>
      </w:pPr>
      <w:r>
        <w:rPr>
          <w:noProof/>
        </w:rPr>
        <w:drawing>
          <wp:anchor distT="0" distB="0" distL="114300" distR="114300" simplePos="0" relativeHeight="251679744"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13"/>
                    <a:stretch>
                      <a:fillRect/>
                    </a:stretch>
                  </pic:blipFill>
                  <pic:spPr>
                    <a:xfrm>
                      <a:off x="0" y="0"/>
                      <a:ext cx="2639568" cy="100571"/>
                    </a:xfrm>
                    <a:prstGeom prst="rect">
                      <a:avLst/>
                    </a:prstGeom>
                  </pic:spPr>
                </pic:pic>
              </a:graphicData>
            </a:graphic>
          </wp:anchor>
        </w:drawing>
      </w:r>
      <w:r>
        <w:rPr>
          <w:sz w:val="20"/>
        </w:rPr>
        <w:t>Kiinteistöstrategian toteuttaminen tasapainottaa seurakunnan talouden kehitystä merkittävästi, mutta talouden p</w:t>
      </w:r>
      <w:r>
        <w:rPr>
          <w:sz w:val="20"/>
        </w:rPr>
        <w:t>ysyvän tasapainotilan saavuttaminen edellyttää myös muita käyttötalouteen kohdistuvia tasapainottamistoimenpiteitä, ts. menojen leikkauksia ja/tai tuottojen lisäyksiä.</w:t>
      </w:r>
      <w:r>
        <w:br w:type="page"/>
      </w:r>
    </w:p>
    <w:p w:rsidR="00C81D05" w:rsidRDefault="00F517B1">
      <w:pPr>
        <w:spacing w:after="0" w:line="259" w:lineRule="auto"/>
        <w:ind w:left="-1416" w:right="139" w:firstLine="0"/>
        <w:jc w:val="left"/>
      </w:pPr>
      <w:r>
        <w:rPr>
          <w:noProof/>
        </w:rPr>
        <w:drawing>
          <wp:anchor distT="0" distB="0" distL="114300" distR="114300" simplePos="0" relativeHeight="251680768"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14"/>
                    <a:stretch>
                      <a:fillRect/>
                    </a:stretch>
                  </pic:blipFill>
                  <pic:spPr>
                    <a:xfrm>
                      <a:off x="0" y="0"/>
                      <a:ext cx="2639568" cy="100571"/>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column">
              <wp:posOffset>-30466</wp:posOffset>
            </wp:positionH>
            <wp:positionV relativeFrom="paragraph">
              <wp:posOffset>0</wp:posOffset>
            </wp:positionV>
            <wp:extent cx="5727192" cy="6934200"/>
            <wp:effectExtent l="0" t="0" r="0" b="0"/>
            <wp:wrapSquare wrapText="bothSides"/>
            <wp:docPr id="21574" name="Picture 21574"/>
            <wp:cNvGraphicFramePr/>
            <a:graphic xmlns:a="http://schemas.openxmlformats.org/drawingml/2006/main">
              <a:graphicData uri="http://schemas.openxmlformats.org/drawingml/2006/picture">
                <pic:pic xmlns:pic="http://schemas.openxmlformats.org/drawingml/2006/picture">
                  <pic:nvPicPr>
                    <pic:cNvPr id="21574" name="Picture 21574"/>
                    <pic:cNvPicPr/>
                  </pic:nvPicPr>
                  <pic:blipFill>
                    <a:blip r:embed="rId25"/>
                    <a:stretch>
                      <a:fillRect/>
                    </a:stretch>
                  </pic:blipFill>
                  <pic:spPr>
                    <a:xfrm>
                      <a:off x="0" y="0"/>
                      <a:ext cx="5727192" cy="6934200"/>
                    </a:xfrm>
                    <a:prstGeom prst="rect">
                      <a:avLst/>
                    </a:prstGeom>
                  </pic:spPr>
                </pic:pic>
              </a:graphicData>
            </a:graphic>
          </wp:anchor>
        </w:drawing>
      </w:r>
      <w:r>
        <w:br w:type="page"/>
      </w:r>
    </w:p>
    <w:p w:rsidR="00C81D05" w:rsidRDefault="00F517B1">
      <w:pPr>
        <w:spacing w:after="105" w:line="259" w:lineRule="auto"/>
        <w:ind w:left="-5"/>
        <w:jc w:val="left"/>
      </w:pPr>
      <w:r>
        <w:rPr>
          <w:b/>
          <w:sz w:val="20"/>
        </w:rPr>
        <w:t>Kiinteistöstrategia ei toteudu:</w:t>
      </w:r>
    </w:p>
    <w:p w:rsidR="00C81D05" w:rsidRDefault="00F517B1">
      <w:pPr>
        <w:spacing w:after="109" w:line="249" w:lineRule="auto"/>
        <w:ind w:left="0" w:firstLine="0"/>
        <w:jc w:val="left"/>
      </w:pPr>
      <w:r>
        <w:rPr>
          <w:sz w:val="20"/>
        </w:rPr>
        <w:t>Yleiset kehitysolettamat:</w:t>
      </w:r>
    </w:p>
    <w:p w:rsidR="00C81D05" w:rsidRDefault="00F517B1">
      <w:pPr>
        <w:numPr>
          <w:ilvl w:val="0"/>
          <w:numId w:val="5"/>
        </w:numPr>
        <w:spacing w:after="4" w:line="249" w:lineRule="auto"/>
        <w:ind w:hanging="360"/>
        <w:jc w:val="left"/>
      </w:pPr>
      <w:r>
        <w:rPr>
          <w:sz w:val="20"/>
        </w:rPr>
        <w:t>verotulot: kehityksen tot</w:t>
      </w:r>
      <w:r>
        <w:rPr>
          <w:sz w:val="20"/>
        </w:rPr>
        <w:t>eutuminen edellyttää, että seurakunnan jäsenmäärän kehityksessä ei tapahdu merkittäviä muutoksia, veroprosentti 1,35 %, tulojen kehitys 2011 +3,5 %, 2012 +3,9 %, 2013- +3,5 %</w:t>
      </w:r>
    </w:p>
    <w:p w:rsidR="00C81D05" w:rsidRDefault="00F517B1">
      <w:pPr>
        <w:numPr>
          <w:ilvl w:val="0"/>
          <w:numId w:val="5"/>
        </w:numPr>
        <w:spacing w:after="31" w:line="249" w:lineRule="auto"/>
        <w:ind w:hanging="360"/>
        <w:jc w:val="left"/>
      </w:pPr>
      <w:r>
        <w:rPr>
          <w:sz w:val="20"/>
        </w:rPr>
        <w:t>toimintatuotot: +3 % siten, että se kertyy nettomenoraamien ulkopuolisista tuloer</w:t>
      </w:r>
      <w:r>
        <w:rPr>
          <w:sz w:val="20"/>
        </w:rPr>
        <w:t>istä</w:t>
      </w:r>
    </w:p>
    <w:p w:rsidR="00C81D05" w:rsidRDefault="00F517B1">
      <w:pPr>
        <w:numPr>
          <w:ilvl w:val="0"/>
          <w:numId w:val="5"/>
        </w:numPr>
        <w:spacing w:after="4" w:line="249" w:lineRule="auto"/>
        <w:ind w:hanging="360"/>
        <w:jc w:val="left"/>
      </w:pPr>
      <w:r>
        <w:rPr>
          <w:sz w:val="20"/>
        </w:rPr>
        <w:t>henkilöstökulut: +3 %, laskelmat eivät sisällä henkilöstöleikkauksia</w:t>
      </w:r>
    </w:p>
    <w:p w:rsidR="00C81D05" w:rsidRDefault="00F517B1">
      <w:pPr>
        <w:numPr>
          <w:ilvl w:val="0"/>
          <w:numId w:val="5"/>
        </w:numPr>
        <w:spacing w:after="4" w:line="249" w:lineRule="auto"/>
        <w:ind w:hanging="360"/>
        <w:jc w:val="left"/>
      </w:pPr>
      <w:r>
        <w:rPr>
          <w:sz w:val="20"/>
        </w:rPr>
        <w:t>muut toimintakulut: +2 %</w:t>
      </w:r>
    </w:p>
    <w:p w:rsidR="00C81D05" w:rsidRDefault="00F517B1">
      <w:pPr>
        <w:numPr>
          <w:ilvl w:val="0"/>
          <w:numId w:val="5"/>
        </w:numPr>
        <w:spacing w:after="4" w:line="249" w:lineRule="auto"/>
        <w:ind w:hanging="360"/>
        <w:jc w:val="left"/>
      </w:pPr>
      <w:r>
        <w:rPr>
          <w:sz w:val="20"/>
        </w:rPr>
        <w:t>kiinteistöjen ylläpitokulut: + 5 %</w:t>
      </w:r>
    </w:p>
    <w:p w:rsidR="00C81D05" w:rsidRDefault="00F517B1">
      <w:pPr>
        <w:numPr>
          <w:ilvl w:val="0"/>
          <w:numId w:val="5"/>
        </w:numPr>
        <w:spacing w:after="27" w:line="249" w:lineRule="auto"/>
        <w:ind w:hanging="360"/>
        <w:jc w:val="left"/>
      </w:pPr>
      <w:r>
        <w:rPr>
          <w:sz w:val="20"/>
        </w:rPr>
        <w:t>poistot: lähtökohtana nykyiset rakennusten suunnitelmapoistot, lisäyksenä kumulatiivisesti vuosittaisten korjausinvestoint</w:t>
      </w:r>
      <w:r>
        <w:rPr>
          <w:sz w:val="20"/>
        </w:rPr>
        <w:t>ien keskimääräiset poistot laskettuna 40 vuoden poistoajalle (2,5 %/v)</w:t>
      </w:r>
    </w:p>
    <w:p w:rsidR="00C81D05" w:rsidRDefault="00F517B1">
      <w:pPr>
        <w:numPr>
          <w:ilvl w:val="0"/>
          <w:numId w:val="5"/>
        </w:numPr>
        <w:spacing w:after="4" w:line="249" w:lineRule="auto"/>
        <w:ind w:hanging="360"/>
        <w:jc w:val="left"/>
      </w:pPr>
      <w:r>
        <w:rPr>
          <w:sz w:val="20"/>
        </w:rPr>
        <w:t>investointien nettorahavirta: vuosikate – vuotuiset korjausinvestoinnit</w:t>
      </w:r>
    </w:p>
    <w:p w:rsidR="00C81D05" w:rsidRDefault="00F517B1">
      <w:pPr>
        <w:numPr>
          <w:ilvl w:val="0"/>
          <w:numId w:val="5"/>
        </w:numPr>
        <w:spacing w:after="571" w:line="249" w:lineRule="auto"/>
        <w:ind w:hanging="360"/>
        <w:jc w:val="left"/>
      </w:pPr>
      <w:r>
        <w:rPr>
          <w:sz w:val="20"/>
        </w:rPr>
        <w:t>investoinnit: kiinteistöselvityksen (14.9.2009) mukaiset korjausinvestoinnit + 500.000 €/v</w:t>
      </w:r>
    </w:p>
    <w:p w:rsidR="00C81D05" w:rsidRDefault="00F517B1">
      <w:pPr>
        <w:spacing w:after="105" w:line="259" w:lineRule="auto"/>
        <w:ind w:left="-5"/>
        <w:jc w:val="left"/>
      </w:pPr>
      <w:r>
        <w:rPr>
          <w:b/>
          <w:sz w:val="20"/>
        </w:rPr>
        <w:t>Talouden kehityksen arviointi:</w:t>
      </w:r>
    </w:p>
    <w:p w:rsidR="00C81D05" w:rsidRDefault="00F517B1">
      <w:pPr>
        <w:numPr>
          <w:ilvl w:val="0"/>
          <w:numId w:val="5"/>
        </w:numPr>
        <w:spacing w:after="4" w:line="249" w:lineRule="auto"/>
        <w:ind w:hanging="360"/>
        <w:jc w:val="left"/>
      </w:pPr>
      <w:r>
        <w:rPr>
          <w:sz w:val="20"/>
        </w:rPr>
        <w:t>Seurakunnan toimintakulut ylittävät verotulojen määrän koko tarkastelujakson ajan. Kestävän kehityksen aikaansaaminen edellyttää tasapainottavia lisätoimenpiteitä (henkilöstökulujen ja muiden toimintakulujen alentaminen, toim</w:t>
      </w:r>
      <w:r>
        <w:rPr>
          <w:sz w:val="20"/>
        </w:rPr>
        <w:t>intatuottojen lisääminen).</w:t>
      </w:r>
    </w:p>
    <w:p w:rsidR="00C81D05" w:rsidRDefault="00F517B1">
      <w:pPr>
        <w:numPr>
          <w:ilvl w:val="0"/>
          <w:numId w:val="5"/>
        </w:numPr>
        <w:spacing w:after="4" w:line="249" w:lineRule="auto"/>
        <w:ind w:hanging="360"/>
        <w:jc w:val="left"/>
      </w:pPr>
      <w:r>
        <w:rPr>
          <w:sz w:val="20"/>
        </w:rPr>
        <w:t>Kiinteistöjen teknisten ylläpitokulujen (ilman henkilöstökuluja) kasvu tarkastelujakson aikana on 71 %.</w:t>
      </w:r>
    </w:p>
    <w:p w:rsidR="00C81D05" w:rsidRDefault="00F517B1">
      <w:pPr>
        <w:numPr>
          <w:ilvl w:val="0"/>
          <w:numId w:val="5"/>
        </w:numPr>
        <w:spacing w:after="4" w:line="249" w:lineRule="auto"/>
        <w:ind w:hanging="360"/>
        <w:jc w:val="left"/>
      </w:pPr>
      <w:r>
        <w:rPr>
          <w:noProof/>
        </w:rPr>
        <w:drawing>
          <wp:anchor distT="0" distB="0" distL="114300" distR="114300" simplePos="0" relativeHeight="251682816"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5"/>
                    <a:stretch>
                      <a:fillRect/>
                    </a:stretch>
                  </pic:blipFill>
                  <pic:spPr>
                    <a:xfrm>
                      <a:off x="0" y="0"/>
                      <a:ext cx="2639568" cy="100571"/>
                    </a:xfrm>
                    <a:prstGeom prst="rect">
                      <a:avLst/>
                    </a:prstGeom>
                  </pic:spPr>
                </pic:pic>
              </a:graphicData>
            </a:graphic>
          </wp:anchor>
        </w:drawing>
      </w:r>
      <w:r>
        <w:rPr>
          <w:sz w:val="20"/>
        </w:rPr>
        <w:t>Toimintatuottojen 3 %:n vuotuisen kasvuolettaman tulee kertyä raamibudjetoinnin ulkopuolisista tuloeristä.</w:t>
      </w:r>
    </w:p>
    <w:p w:rsidR="00C81D05" w:rsidRDefault="00F517B1">
      <w:pPr>
        <w:numPr>
          <w:ilvl w:val="0"/>
          <w:numId w:val="5"/>
        </w:numPr>
        <w:spacing w:after="4" w:line="249" w:lineRule="auto"/>
        <w:ind w:hanging="360"/>
        <w:jc w:val="left"/>
      </w:pPr>
      <w:r>
        <w:rPr>
          <w:sz w:val="20"/>
        </w:rPr>
        <w:t>Vuosikate ei kata</w:t>
      </w:r>
      <w:r>
        <w:rPr>
          <w:sz w:val="20"/>
        </w:rPr>
        <w:t xml:space="preserve"> käyttöomaisuuspoistoja vuoteen 2015 saakka. Tarkastelujakson alussa vuosikatteen osuus poistoista on 67,6 % ja lopussa vain 18 %.</w:t>
      </w:r>
    </w:p>
    <w:p w:rsidR="00C81D05" w:rsidRDefault="00F517B1">
      <w:pPr>
        <w:numPr>
          <w:ilvl w:val="0"/>
          <w:numId w:val="5"/>
        </w:numPr>
        <w:spacing w:after="4" w:line="249" w:lineRule="auto"/>
        <w:ind w:hanging="360"/>
        <w:jc w:val="left"/>
      </w:pPr>
      <w:r>
        <w:rPr>
          <w:sz w:val="20"/>
        </w:rPr>
        <w:t>Poistojen määrä viisinkertaistuu tarkastelujakson aikana 1,3 milj. eurosta lähes 6,3 milj. euroon.</w:t>
      </w:r>
    </w:p>
    <w:p w:rsidR="00C81D05" w:rsidRDefault="00F517B1">
      <w:pPr>
        <w:numPr>
          <w:ilvl w:val="0"/>
          <w:numId w:val="5"/>
        </w:numPr>
        <w:spacing w:after="4" w:line="249" w:lineRule="auto"/>
        <w:ind w:hanging="360"/>
        <w:jc w:val="left"/>
      </w:pPr>
      <w:r>
        <w:rPr>
          <w:sz w:val="20"/>
        </w:rPr>
        <w:t>Tulos on negatiivinen koko</w:t>
      </w:r>
      <w:r>
        <w:rPr>
          <w:sz w:val="20"/>
        </w:rPr>
        <w:t xml:space="preserve"> tarkastelujakson ajan. Katettavien alijäämien yhteissummaksi muodostuu 27,2 milj. euroa.</w:t>
      </w:r>
    </w:p>
    <w:p w:rsidR="00C81D05" w:rsidRDefault="00F517B1">
      <w:pPr>
        <w:numPr>
          <w:ilvl w:val="0"/>
          <w:numId w:val="5"/>
        </w:numPr>
        <w:spacing w:after="4" w:line="249" w:lineRule="auto"/>
        <w:ind w:hanging="360"/>
        <w:jc w:val="left"/>
      </w:pPr>
      <w:r>
        <w:rPr>
          <w:sz w:val="20"/>
        </w:rPr>
        <w:t>Investointien kokonaissumma tarkastelujakson aikana on yhteensä 45,5 milj. euroa. Investointien toteuttaminen ulkopuolisella rahoituksella lisää tulosta rasittavia ko</w:t>
      </w:r>
      <w:r>
        <w:rPr>
          <w:sz w:val="20"/>
        </w:rPr>
        <w:t>rkomenoja.</w:t>
      </w:r>
    </w:p>
    <w:p w:rsidR="00C81D05" w:rsidRDefault="00F517B1">
      <w:pPr>
        <w:numPr>
          <w:ilvl w:val="0"/>
          <w:numId w:val="5"/>
        </w:numPr>
        <w:spacing w:after="4" w:line="249" w:lineRule="auto"/>
        <w:ind w:hanging="360"/>
        <w:jc w:val="left"/>
      </w:pPr>
      <w:r>
        <w:rPr>
          <w:sz w:val="20"/>
        </w:rPr>
        <w:t>Investointien nettorahavirta on negatiivinen koko tarkastelujakson ajan. Nettorahaviran alijäämän yhteissummaksi muodostuu 43,3 milj. euroa.</w:t>
      </w:r>
    </w:p>
    <w:p w:rsidR="00C81D05" w:rsidRDefault="00F517B1">
      <w:pPr>
        <w:numPr>
          <w:ilvl w:val="0"/>
          <w:numId w:val="5"/>
        </w:numPr>
        <w:spacing w:after="4" w:line="249" w:lineRule="auto"/>
        <w:ind w:hanging="360"/>
        <w:jc w:val="left"/>
      </w:pPr>
      <w:r>
        <w:rPr>
          <w:sz w:val="20"/>
        </w:rPr>
        <w:t>Seurakunnan taseeseen sisältyvät aikaisempien vuosien ylijäämät ovat tarkastelujaksona aikana yhteensä 2</w:t>
      </w:r>
      <w:r>
        <w:rPr>
          <w:sz w:val="20"/>
        </w:rPr>
        <w:t>8,2 milj. euroa. Tuloksen alijäämien ja investointien negatiivisen nettorahavirran yhteismäärä on 70,5 milj. euroa.</w:t>
      </w:r>
    </w:p>
    <w:p w:rsidR="00C81D05" w:rsidRDefault="00F517B1">
      <w:pPr>
        <w:numPr>
          <w:ilvl w:val="0"/>
          <w:numId w:val="5"/>
        </w:numPr>
        <w:spacing w:after="461" w:line="249" w:lineRule="auto"/>
        <w:ind w:hanging="360"/>
        <w:jc w:val="left"/>
      </w:pPr>
      <w:r>
        <w:rPr>
          <w:sz w:val="20"/>
        </w:rPr>
        <w:t>Kiinteistöselvityksen sisältämien investointien toteuttaminen johtaa seurakunnan talouden sellaiseen katastrofaaliseen tilaan, jonka tasapai</w:t>
      </w:r>
      <w:r>
        <w:rPr>
          <w:sz w:val="20"/>
        </w:rPr>
        <w:t>nottaminen ei enää ole mahdollista. Tarkastelujakson päättyessä talouden kokonaisalijäämä vastaa suuruusluokaltaan kahden vuoden toimintakuluja.</w:t>
      </w:r>
    </w:p>
    <w:p w:rsidR="00C81D05" w:rsidRDefault="00F517B1">
      <w:pPr>
        <w:spacing w:after="109" w:line="249" w:lineRule="auto"/>
        <w:ind w:left="720" w:firstLine="0"/>
        <w:jc w:val="left"/>
      </w:pPr>
      <w:r>
        <w:rPr>
          <w:sz w:val="20"/>
        </w:rPr>
        <w:t>KJ 15:1,3:</w:t>
      </w:r>
    </w:p>
    <w:p w:rsidR="00C81D05" w:rsidRDefault="00F517B1">
      <w:pPr>
        <w:spacing w:after="91" w:line="249" w:lineRule="auto"/>
        <w:ind w:left="720" w:firstLine="0"/>
        <w:jc w:val="left"/>
      </w:pPr>
      <w:r>
        <w:rPr>
          <w:sz w:val="20"/>
        </w:rPr>
        <w:t>"Talousarviossa ja toiminta- ja taloussuunnitelmassa ja niiden hyväksymisen yhteydessä on päätettävä</w:t>
      </w:r>
      <w:r>
        <w:rPr>
          <w:sz w:val="20"/>
        </w:rPr>
        <w:t xml:space="preserve"> toimenpiteistä, joilla edellisen vuoden taseen osoittama alijäämä katetaan ottaen huomioon myös talousarvion laatimisvuonna kertyväksi arvioitu yli- tai alijäämä." Kommentaari, kohta 7:</w:t>
      </w:r>
    </w:p>
    <w:p w:rsidR="00C81D05" w:rsidRDefault="00F517B1">
      <w:pPr>
        <w:spacing w:after="4" w:line="249" w:lineRule="auto"/>
        <w:ind w:left="720" w:firstLine="0"/>
        <w:jc w:val="left"/>
      </w:pPr>
      <w:r>
        <w:rPr>
          <w:noProof/>
        </w:rPr>
        <w:drawing>
          <wp:anchor distT="0" distB="0" distL="114300" distR="114300" simplePos="0" relativeHeight="251683840" behindDoc="0" locked="0" layoutInCell="1" allowOverlap="0">
            <wp:simplePos x="0" y="0"/>
            <wp:positionH relativeFrom="page">
              <wp:posOffset>359664</wp:posOffset>
            </wp:positionH>
            <wp:positionV relativeFrom="page">
              <wp:posOffset>10329685</wp:posOffset>
            </wp:positionV>
            <wp:extent cx="2639568" cy="100571"/>
            <wp:effectExtent l="0" t="0" r="0" b="0"/>
            <wp:wrapTopAndBottom/>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16"/>
                    <a:stretch>
                      <a:fillRect/>
                    </a:stretch>
                  </pic:blipFill>
                  <pic:spPr>
                    <a:xfrm>
                      <a:off x="0" y="0"/>
                      <a:ext cx="2639568" cy="100571"/>
                    </a:xfrm>
                    <a:prstGeom prst="rect">
                      <a:avLst/>
                    </a:prstGeom>
                  </pic:spPr>
                </pic:pic>
              </a:graphicData>
            </a:graphic>
          </wp:anchor>
        </w:drawing>
      </w:r>
      <w:r>
        <w:rPr>
          <w:sz w:val="20"/>
        </w:rPr>
        <w:t>…”Talousarvion sekä toiminta ja taloussuunnitelman laatimisen yhteyd</w:t>
      </w:r>
      <w:r>
        <w:rPr>
          <w:sz w:val="20"/>
        </w:rPr>
        <w:t>essä on päätettävä toimenpiteistä, miten kertynyt taikka kertymässä oleva alijäämä katetaan. Se tarkoittaa, että seurakunnan tulot on saatava menoja suuremmiksi tulevina vuosina. Toimenpideohjelma voidaan tehdä kolmea vuotta pidemmälle ajalle, mikäli ohjel</w:t>
      </w:r>
      <w:r>
        <w:rPr>
          <w:sz w:val="20"/>
        </w:rPr>
        <w:t>ma on realistinen ja mikäli luottamushenkilöt ja viranhaltijat sitoutuvat toimenpideohjelman toteuttamiseen.”</w:t>
      </w:r>
    </w:p>
    <w:p w:rsidR="00C81D05" w:rsidRDefault="00C81D05">
      <w:pPr>
        <w:sectPr w:rsidR="00C81D05">
          <w:headerReference w:type="even" r:id="rId26"/>
          <w:headerReference w:type="default" r:id="rId27"/>
          <w:headerReference w:type="first" r:id="rId28"/>
          <w:pgSz w:w="11904" w:h="16838"/>
          <w:pgMar w:top="2856" w:right="1378" w:bottom="1992" w:left="1416" w:header="708" w:footer="708" w:gutter="0"/>
          <w:cols w:space="708"/>
          <w:titlePg/>
        </w:sectPr>
      </w:pPr>
    </w:p>
    <w:p w:rsidR="00C81D05" w:rsidRDefault="00F517B1">
      <w:pPr>
        <w:spacing w:after="240" w:line="259" w:lineRule="auto"/>
        <w:ind w:left="-5"/>
        <w:jc w:val="left"/>
      </w:pPr>
      <w:r>
        <w:rPr>
          <w:b/>
          <w:sz w:val="15"/>
        </w:rPr>
        <w:t>Jyväskylän seurakunnan kiinteistöstrategia vuosille 2010 - 2020</w:t>
      </w:r>
    </w:p>
    <w:p w:rsidR="00C81D05" w:rsidRDefault="00F517B1">
      <w:pPr>
        <w:spacing w:after="239" w:line="259" w:lineRule="auto"/>
        <w:ind w:left="-5"/>
        <w:jc w:val="left"/>
      </w:pPr>
      <w:r>
        <w:rPr>
          <w:sz w:val="15"/>
        </w:rPr>
        <w:t>Kiinteistöluokitukset</w:t>
      </w:r>
    </w:p>
    <w:p w:rsidR="00C81D05" w:rsidRDefault="00F517B1">
      <w:pPr>
        <w:tabs>
          <w:tab w:val="center" w:pos="4714"/>
          <w:tab w:val="right" w:pos="8509"/>
        </w:tabs>
        <w:spacing w:after="0" w:line="259" w:lineRule="auto"/>
        <w:ind w:left="-15" w:firstLine="0"/>
        <w:jc w:val="left"/>
      </w:pPr>
      <w:r>
        <w:rPr>
          <w:b/>
          <w:i/>
          <w:sz w:val="15"/>
          <w:u w:val="single" w:color="000000"/>
        </w:rPr>
        <w:t>Kategoria 1 (säilytettävät)</w:t>
      </w:r>
      <w:r>
        <w:rPr>
          <w:b/>
          <w:i/>
          <w:sz w:val="15"/>
          <w:u w:val="single" w:color="000000"/>
        </w:rPr>
        <w:tab/>
      </w:r>
      <w:r>
        <w:rPr>
          <w:sz w:val="15"/>
        </w:rPr>
        <w:t>Kriteerien soveltaminen</w:t>
      </w:r>
      <w:r>
        <w:rPr>
          <w:sz w:val="15"/>
        </w:rPr>
        <w:tab/>
        <w:t>Muuta huomioitavaa</w:t>
      </w:r>
    </w:p>
    <w:tbl>
      <w:tblPr>
        <w:tblStyle w:val="TableGrid"/>
        <w:tblW w:w="9302" w:type="dxa"/>
        <w:tblInd w:w="-29" w:type="dxa"/>
        <w:tblCellMar>
          <w:top w:w="0" w:type="dxa"/>
          <w:left w:w="29" w:type="dxa"/>
          <w:bottom w:w="21" w:type="dxa"/>
          <w:right w:w="121" w:type="dxa"/>
        </w:tblCellMar>
        <w:tblLook w:val="04A0" w:firstRow="1" w:lastRow="0" w:firstColumn="1" w:lastColumn="0" w:noHBand="0" w:noVBand="1"/>
      </w:tblPr>
      <w:tblGrid>
        <w:gridCol w:w="3940"/>
        <w:gridCol w:w="3240"/>
        <w:gridCol w:w="2122"/>
      </w:tblGrid>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Taulumäen kirkko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kirkkokiinteistö</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pPr>
            <w:r>
              <w:rPr>
                <w:sz w:val="15"/>
              </w:rPr>
              <w:t>Maakunnallisesti  arvokas kulttuuriympäristö ja kiinteistö</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Kaupungin kirkko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kirkkokiinteistö</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Keskustan alueseurakunnan kirkkosali + suojelulliset näkökohdat</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Säynätsalon kirkko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kirkkokiinteistö</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276" w:firstLine="0"/>
            </w:pPr>
            <w:r>
              <w:rPr>
                <w:sz w:val="15"/>
              </w:rPr>
              <w:t>Maakunnallisesti  arvokas kulttuuriympäristö ja/tai kiinteistö</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Korpilahden kirkko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kirkkokiinteistö</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276" w:firstLine="0"/>
            </w:pPr>
            <w:r>
              <w:rPr>
                <w:sz w:val="15"/>
              </w:rPr>
              <w:t>Maakunnallisesti  arvokas kulttuuriympäristö ja/tai kiinteistö</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Kuokkalan uusi kirkko</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kirkkokiinteistö</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käyttöönotto 2010</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Keltinmäen seurakuntakeskus</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alueseurakunnan kirkkosali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Alueseurakunnan kirkkosali</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Palokan seurakuntakeskus</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alueseurakunnan kirkkosali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Alueseurakunnan kirkkosali</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Tikkakosken seurakuntakeskus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alueseurakunnan kirkkosali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38" w:firstLine="0"/>
            </w:pPr>
            <w:r>
              <w:rPr>
                <w:sz w:val="15"/>
              </w:rPr>
              <w:t>Alueseurakunnan kirkkosali + maakunnallisesti arvokas kulttuuriym</w:t>
            </w:r>
            <w:r>
              <w:rPr>
                <w:sz w:val="15"/>
              </w:rPr>
              <w:t>päristö</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Vaajakosken seurakuntakeskus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alueseurakunnan kirkkosali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38" w:firstLine="0"/>
            </w:pPr>
            <w:r>
              <w:rPr>
                <w:sz w:val="15"/>
              </w:rPr>
              <w:t>Alueseurakunnan kirkkosali + maakunnallisesti arvokas kulttuuriympäristö</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Säynätsalon seurakuntatalo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alueseurakunnan srk-keskus</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38" w:firstLine="0"/>
            </w:pPr>
            <w:r>
              <w:rPr>
                <w:sz w:val="15"/>
              </w:rPr>
              <w:t>Alueseurakunnan kirkkosali + maakunnallisesti arvokas kulttuuriympäristö</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Kortepohjan peruskorjattu seurakuntakeskus</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alueseurakunnan srk-keskus</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käyttöönotto 2010</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Tikkakosken pappila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alueseurakunnan srk-keskus</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Realisointimahdollisuudet, kiinteä toiminnallinen kokonaisuus srk-keskuksen kanssa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Vesalan kurssikeskus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kokoseurakunnallinen asema ja tarve</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Ympärivuotinen käyttömahdollista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Koivuniemen leirikeskus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kokoseurakunnallinen asema ja tarve</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Ympärivuotinen käyttömahdollista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Lehtisaaren kiinteistö</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realisointimahdollisuudet, erityisasema</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Partiomaja Sammalinen</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Syvälahden partiomaja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Teerilahden partiomaja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Neulaskoti Keljonkangas</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96" w:firstLine="0"/>
            </w:pPr>
            <w:r>
              <w:rPr>
                <w:sz w:val="15"/>
              </w:rPr>
              <w:t>Maantieteellisesti huonosti joukkoliikenteellä tavoitettava ja erillinen alue, jossa tarvitaan alueelliset toimintatilat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Kaunisharjun kerhotila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Realisointimahdollisuudet</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Huhtasuon seurakuntakeskus (osittain)</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osassa kiinteistöä alueseurakunnan kirkkosali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Korpilahden seurakuntakeskus (mahdollinen uusi 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alueseurakunnan srk-keskus</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vanhan poistaminen, uudisrakennus, jonne keskitetään Korpilahdella hajallaan olevia toimintoja</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Polttolinja 37, Kuokkala (osittain)</w:t>
            </w:r>
          </w:p>
        </w:tc>
        <w:tc>
          <w:tcPr>
            <w:tcW w:w="3240"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kerho- ja kokoontumistila</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Hautaustoimen kiinteistöt (poislukien Korpilahden kappeli)</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käyttötarkoitus ja erityispiirteet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bl>
    <w:p w:rsidR="00C81D05" w:rsidRDefault="00F517B1">
      <w:pPr>
        <w:spacing w:after="240" w:line="259" w:lineRule="auto"/>
        <w:ind w:left="-5"/>
        <w:jc w:val="left"/>
      </w:pPr>
      <w:r>
        <w:rPr>
          <w:b/>
          <w:sz w:val="15"/>
        </w:rPr>
        <w:t>Yhteensä noin 30 000 kem2</w:t>
      </w:r>
    </w:p>
    <w:p w:rsidR="00C81D05" w:rsidRDefault="00F517B1">
      <w:pPr>
        <w:spacing w:after="0" w:line="259" w:lineRule="auto"/>
        <w:ind w:left="-5"/>
        <w:jc w:val="left"/>
      </w:pPr>
      <w:r>
        <w:rPr>
          <w:b/>
          <w:i/>
          <w:sz w:val="15"/>
          <w:u w:val="single" w:color="000000"/>
        </w:rPr>
        <w:t>Kategoria 2 (hankesuunnitelmaa edellyttävät kiinteistöt)</w:t>
      </w:r>
    </w:p>
    <w:tbl>
      <w:tblPr>
        <w:tblStyle w:val="TableGrid"/>
        <w:tblW w:w="9302" w:type="dxa"/>
        <w:tblInd w:w="-29" w:type="dxa"/>
        <w:tblCellMar>
          <w:top w:w="0" w:type="dxa"/>
          <w:left w:w="29" w:type="dxa"/>
          <w:bottom w:w="21" w:type="dxa"/>
          <w:right w:w="73" w:type="dxa"/>
        </w:tblCellMar>
        <w:tblLook w:val="04A0" w:firstRow="1" w:lastRow="0" w:firstColumn="1" w:lastColumn="0" w:noHBand="0" w:noVBand="1"/>
      </w:tblPr>
      <w:tblGrid>
        <w:gridCol w:w="3927"/>
        <w:gridCol w:w="3232"/>
        <w:gridCol w:w="2143"/>
      </w:tblGrid>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Lohikosken seurakuntakeskus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239" w:firstLine="0"/>
            </w:pPr>
            <w:r>
              <w:rPr>
                <w:sz w:val="15"/>
              </w:rPr>
              <w:t>suojelulliset  rajoitukset, kartoitetaan vuokraamis- ja yhteiskäyttömahdollisuudet</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Halssilan seurakuntakeskus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pPr>
            <w:r>
              <w:rPr>
                <w:sz w:val="15"/>
              </w:rPr>
              <w:t>suojelulliset  rajoitukset, kirkkotila säilyy, kartoitetaan</w:t>
            </w:r>
          </w:p>
          <w:p w:rsidR="00C81D05" w:rsidRDefault="00F517B1">
            <w:pPr>
              <w:spacing w:after="0" w:line="259" w:lineRule="auto"/>
              <w:ind w:left="0" w:firstLine="0"/>
              <w:jc w:val="left"/>
            </w:pPr>
            <w:r>
              <w:rPr>
                <w:sz w:val="15"/>
              </w:rPr>
              <w:t>vuokraamis- ja yhteiskäyttötilaisuudet</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Mutasen leirikeskus</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kartoitetaan ja suunnitellaan hanketasolla</w:t>
            </w:r>
          </w:p>
          <w:p w:rsidR="00C81D05" w:rsidRDefault="00F517B1">
            <w:pPr>
              <w:spacing w:after="0" w:line="259" w:lineRule="auto"/>
              <w:ind w:left="0" w:firstLine="0"/>
              <w:jc w:val="left"/>
            </w:pPr>
            <w:r>
              <w:rPr>
                <w:sz w:val="15"/>
              </w:rPr>
              <w:t>toimenpidemahdollisuudet</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Tyyppälän maja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kartoitetaan ja suunnitellaan hanketasolla</w:t>
            </w:r>
          </w:p>
          <w:p w:rsidR="00C81D05" w:rsidRDefault="00F517B1">
            <w:pPr>
              <w:spacing w:after="0" w:line="259" w:lineRule="auto"/>
              <w:ind w:left="0" w:firstLine="0"/>
              <w:jc w:val="left"/>
            </w:pPr>
            <w:r>
              <w:rPr>
                <w:sz w:val="15"/>
              </w:rPr>
              <w:t>toimenpidemahdollisuudet</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Leirimaja Sarpatti</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taloudelliset tekijät, vähäinen kustannusten määrä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selvitetään kokoseurakunnallinen käyttö sekä kustannuksia vastaava ulkopuolisten tahojen käyttö</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Keskusseurakuntatalo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hallinto- ja toimitotilat toteutetetaan kokonaistaloudellisesti</w:t>
            </w:r>
          </w:p>
          <w:p w:rsidR="00C81D05" w:rsidRDefault="00F517B1">
            <w:pPr>
              <w:spacing w:after="0" w:line="259" w:lineRule="auto"/>
              <w:ind w:left="0" w:firstLine="0"/>
              <w:jc w:val="left"/>
            </w:pPr>
            <w:r>
              <w:rPr>
                <w:sz w:val="15"/>
              </w:rPr>
              <w:t>tarkoituksenmukaisimmalla tavalla</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vaatii hankesuunnittelua kokonaistaloudellisesti edullisimman ratkaisun selvittämiseksi</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Huhtasuon seurakuntakeskus (II osa)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II osa: 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246" w:firstLine="0"/>
            </w:pPr>
            <w:r>
              <w:rPr>
                <w:sz w:val="15"/>
              </w:rPr>
              <w:t>vaatii hankesuunnittelua, neuvottelut mm. kaupungin kanssa</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Polttolinja 29/37, Kuokkala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sijainti, edellyttävät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pPr>
            <w:r>
              <w:rPr>
                <w:sz w:val="15"/>
              </w:rPr>
              <w:t>kerho- ja kokoontumistilojen tiivistäminen ja osittaisen</w:t>
            </w:r>
          </w:p>
          <w:p w:rsidR="00C81D05" w:rsidRDefault="00F517B1">
            <w:pPr>
              <w:spacing w:after="0" w:line="259" w:lineRule="auto"/>
              <w:ind w:left="0" w:firstLine="0"/>
              <w:jc w:val="left"/>
            </w:pPr>
            <w:r>
              <w:rPr>
                <w:sz w:val="15"/>
              </w:rPr>
              <w:t>luopumismahdollisuuden tutkinta</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Kaupungin pappila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käyttötarkoitus, edellyttää lisäselvitystä</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Liittyminen maakunnallisesti</w:t>
            </w:r>
          </w:p>
          <w:p w:rsidR="00C81D05" w:rsidRDefault="00F517B1">
            <w:pPr>
              <w:spacing w:after="0" w:line="259" w:lineRule="auto"/>
              <w:ind w:left="0" w:firstLine="0"/>
              <w:jc w:val="left"/>
            </w:pPr>
            <w:r>
              <w:rPr>
                <w:sz w:val="15"/>
              </w:rPr>
              <w:t>arvokkaan alueen kehityssuunnitelmaan: yhteiskäytön tutkinta</w:t>
            </w:r>
          </w:p>
        </w:tc>
      </w:tr>
    </w:tbl>
    <w:p w:rsidR="00C81D05" w:rsidRDefault="00F517B1">
      <w:pPr>
        <w:spacing w:after="240" w:line="259" w:lineRule="auto"/>
        <w:ind w:left="-5"/>
        <w:jc w:val="left"/>
      </w:pPr>
      <w:r>
        <w:rPr>
          <w:b/>
          <w:sz w:val="15"/>
        </w:rPr>
        <w:t>Vähennystavoite yhteensä noin 2 000 kem2</w:t>
      </w:r>
    </w:p>
    <w:p w:rsidR="00C81D05" w:rsidRDefault="00F517B1">
      <w:pPr>
        <w:spacing w:after="0" w:line="259" w:lineRule="auto"/>
        <w:ind w:left="-5"/>
        <w:jc w:val="left"/>
      </w:pPr>
      <w:r>
        <w:rPr>
          <w:b/>
          <w:i/>
          <w:sz w:val="15"/>
          <w:u w:val="single" w:color="000000"/>
        </w:rPr>
        <w:t>Kategoria 3 (realisoitavat)</w:t>
      </w:r>
    </w:p>
    <w:tbl>
      <w:tblPr>
        <w:tblStyle w:val="TableGrid"/>
        <w:tblW w:w="9302" w:type="dxa"/>
        <w:tblInd w:w="-29" w:type="dxa"/>
        <w:tblCellMar>
          <w:top w:w="0" w:type="dxa"/>
          <w:left w:w="29" w:type="dxa"/>
          <w:bottom w:w="21" w:type="dxa"/>
          <w:right w:w="70" w:type="dxa"/>
        </w:tblCellMar>
        <w:tblLook w:val="04A0" w:firstRow="1" w:lastRow="0" w:firstColumn="1" w:lastColumn="0" w:noHBand="0" w:noVBand="1"/>
      </w:tblPr>
      <w:tblGrid>
        <w:gridCol w:w="3940"/>
        <w:gridCol w:w="3240"/>
        <w:gridCol w:w="2122"/>
      </w:tblGrid>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Keljon seurakuntakeskus</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Ostajae</w:t>
            </w:r>
            <w:r>
              <w:rPr>
                <w:sz w:val="15"/>
              </w:rPr>
              <w:t>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ydintoimintojen uudelleen sijoitus</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Tikan seurakuntakoti</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Ostajaehdokkaan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Uusi kirkko vamistuu 2010</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Kypärämäen seurakuntakoti</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Ostaja 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ydintoimintojen uudelleen sijoitus</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Jyskän seurakuntakoti</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w:t>
            </w:r>
            <w:r>
              <w:rPr>
                <w:sz w:val="15"/>
              </w:rPr>
              <w:t>oiminta ei riipuvainen kiinteistön omistuksesta. Ostaja 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ydintoimintojen uudelleen sijoitus</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Säynätsalon pappila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Ostaja 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kerhotoimintojen uudelleen sijoitus</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Korpilahden pappila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w:t>
            </w:r>
            <w:r>
              <w:rPr>
                <w:sz w:val="15"/>
              </w:rPr>
              <w:t>a 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Toiminnot siirretään mahdolliseen uuteen seurakuntakeskukseen</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Jokelan pappila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right="104" w:firstLine="0"/>
            </w:pPr>
            <w:r>
              <w:rPr>
                <w:sz w:val="15"/>
              </w:rPr>
              <w:t>Tilojen käyttö,toiminta ei riipuvainen kiinteistön omistuksesta. Ostaja ehdokkaan löytyminen arvioitu alustavasti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edellyttää Palokan kirkon tilaohjelman päivitystä</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Palokan kanttorila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Korjauskustannukset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Leirimaja Majaniemi</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leirikeskusten tarve ja kehittäminen arvioidaan seurakunnan kokonaisuuden näkökulmasta. Ostaja ehdokkaan löytyminen arvioitu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Ei ympärivuotista aktiivista käyttöä</w:t>
            </w:r>
          </w:p>
        </w:tc>
      </w:tr>
      <w:tr w:rsidR="00C81D05">
        <w:trPr>
          <w:trHeight w:val="1099"/>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Korpilahden kappeli (poistuu kauden lopulla)</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Korjauskustannukset</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tekninen käyt</w:t>
            </w:r>
            <w:r>
              <w:rPr>
                <w:sz w:val="15"/>
              </w:rPr>
              <w:t>töikä päättyy strategiakaudella, siunauksien siirtäminen kirkkoon nostaa strategian tavoitteiden mukaisesti kirkon käyttöastetta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Laikuttajantie 2</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Korjauskustannukset. Realisointi arvioitu mahdolliseksi.</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kerhotoimintojen uudelleen sijoitus</w:t>
            </w:r>
          </w:p>
        </w:tc>
      </w:tr>
      <w:tr w:rsidR="00C81D05">
        <w:trPr>
          <w:trHeight w:val="737"/>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Huhtakeskuksen liiketila</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Korjauskustannukset ja vuokrasta kertymättömät korjauskustannnusvaraukset. Ostaja ehdokkaan löytyminen arvioitu mahdolliseksi.</w:t>
            </w:r>
          </w:p>
        </w:tc>
        <w:tc>
          <w:tcPr>
            <w:tcW w:w="2122"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Tila ei seurakunnan käytössä.</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Keltinmäen vuokratalo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Korjauskustannukset ja vuokrista kertymättömät korjauskustannnusvaraukset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suunnittelu, ensisijaisesti soveltuva, yhteiskuntavastuullinen ostaja</w:t>
            </w:r>
          </w:p>
        </w:tc>
      </w:tr>
      <w:tr w:rsidR="00C81D05">
        <w:trPr>
          <w:trHeight w:val="554"/>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Halssilan vuokratalo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Korjauskustannukset ja vuokrista kertymättömät korjauskustannnusvaraukset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suunnittelu, ens</w:t>
            </w:r>
            <w:r>
              <w:rPr>
                <w:sz w:val="15"/>
              </w:rPr>
              <w:t>isijaisesti soveltuva, yhteiskuntavastuullinen ostaja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Asunto, Korpilahti</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Korjauskustannukset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poistuu uudisrakennushankkeen kautta</w:t>
            </w:r>
          </w:p>
        </w:tc>
      </w:tr>
      <w:tr w:rsidR="00C81D05">
        <w:trPr>
          <w:trHeight w:val="372"/>
        </w:trPr>
        <w:tc>
          <w:tcPr>
            <w:tcW w:w="3941"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Lohikosken rivitalo</w:t>
            </w:r>
          </w:p>
        </w:tc>
        <w:tc>
          <w:tcPr>
            <w:tcW w:w="3240" w:type="dxa"/>
            <w:tcBorders>
              <w:top w:val="single" w:sz="6" w:space="0" w:color="000000"/>
              <w:left w:val="single" w:sz="6" w:space="0" w:color="000000"/>
              <w:bottom w:val="single" w:sz="6" w:space="0" w:color="000000"/>
              <w:right w:val="single" w:sz="6" w:space="0" w:color="000000"/>
            </w:tcBorders>
            <w:vAlign w:val="bottom"/>
          </w:tcPr>
          <w:p w:rsidR="00C81D05" w:rsidRDefault="00F517B1">
            <w:pPr>
              <w:spacing w:after="0" w:line="259" w:lineRule="auto"/>
              <w:ind w:left="0" w:firstLine="0"/>
              <w:jc w:val="left"/>
            </w:pPr>
            <w:r>
              <w:rPr>
                <w:sz w:val="15"/>
              </w:rPr>
              <w:t>Korjauskustannukset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kerhotoimintojen uudelleen sijoitus</w:t>
            </w:r>
          </w:p>
        </w:tc>
      </w:tr>
      <w:tr w:rsidR="00C81D05">
        <w:trPr>
          <w:trHeight w:val="214"/>
        </w:trPr>
        <w:tc>
          <w:tcPr>
            <w:tcW w:w="3941"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Halssilan rivitalo</w:t>
            </w:r>
          </w:p>
        </w:tc>
        <w:tc>
          <w:tcPr>
            <w:tcW w:w="3240" w:type="dxa"/>
            <w:tcBorders>
              <w:top w:val="single" w:sz="6" w:space="0" w:color="000000"/>
              <w:left w:val="single" w:sz="6" w:space="0" w:color="000000"/>
              <w:bottom w:val="single" w:sz="6" w:space="0" w:color="000000"/>
              <w:right w:val="single" w:sz="6" w:space="0" w:color="000000"/>
            </w:tcBorders>
          </w:tcPr>
          <w:p w:rsidR="00C81D05" w:rsidRDefault="00F517B1">
            <w:pPr>
              <w:spacing w:after="0" w:line="259" w:lineRule="auto"/>
              <w:ind w:left="0" w:firstLine="0"/>
              <w:jc w:val="left"/>
            </w:pPr>
            <w:r>
              <w:rPr>
                <w:sz w:val="15"/>
              </w:rPr>
              <w:t>Korjauskustannukset</w:t>
            </w:r>
          </w:p>
        </w:tc>
        <w:tc>
          <w:tcPr>
            <w:tcW w:w="2122" w:type="dxa"/>
            <w:tcBorders>
              <w:top w:val="single" w:sz="6" w:space="0" w:color="000000"/>
              <w:left w:val="single" w:sz="6" w:space="0" w:color="000000"/>
              <w:bottom w:val="single" w:sz="6" w:space="0" w:color="000000"/>
              <w:right w:val="single" w:sz="6" w:space="0" w:color="000000"/>
            </w:tcBorders>
          </w:tcPr>
          <w:p w:rsidR="00C81D05" w:rsidRDefault="00C81D05">
            <w:pPr>
              <w:spacing w:after="160" w:line="259" w:lineRule="auto"/>
              <w:ind w:left="0" w:firstLine="0"/>
              <w:jc w:val="left"/>
            </w:pPr>
          </w:p>
        </w:tc>
      </w:tr>
    </w:tbl>
    <w:p w:rsidR="00C81D05" w:rsidRDefault="00F517B1">
      <w:pPr>
        <w:spacing w:after="240" w:line="259" w:lineRule="auto"/>
        <w:ind w:left="-5"/>
        <w:jc w:val="left"/>
      </w:pPr>
      <w:r>
        <w:rPr>
          <w:b/>
          <w:sz w:val="15"/>
        </w:rPr>
        <w:t>Yhteensä noin 11 000 kem2</w:t>
      </w:r>
    </w:p>
    <w:sectPr w:rsidR="00C81D05">
      <w:headerReference w:type="even" r:id="rId29"/>
      <w:headerReference w:type="default" r:id="rId30"/>
      <w:headerReference w:type="first" r:id="rId31"/>
      <w:pgSz w:w="11906" w:h="16838"/>
      <w:pgMar w:top="1085" w:right="2099" w:bottom="1404" w:left="1298" w:header="451"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17B1">
      <w:pPr>
        <w:spacing w:after="0" w:line="240" w:lineRule="auto"/>
      </w:pPr>
      <w:r>
        <w:separator/>
      </w:r>
    </w:p>
  </w:endnote>
  <w:endnote w:type="continuationSeparator" w:id="0">
    <w:p w:rsidR="00000000" w:rsidRDefault="00F5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17B1">
      <w:pPr>
        <w:spacing w:after="0" w:line="240" w:lineRule="auto"/>
      </w:pPr>
      <w:r>
        <w:separator/>
      </w:r>
    </w:p>
  </w:footnote>
  <w:footnote w:type="continuationSeparator" w:id="0">
    <w:p w:rsidR="00000000" w:rsidRDefault="00F5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F517B1">
    <w:pPr>
      <w:tabs>
        <w:tab w:val="center" w:pos="5408"/>
        <w:tab w:val="center" w:pos="8135"/>
      </w:tabs>
      <w:spacing w:after="731" w:line="259" w:lineRule="auto"/>
      <w:ind w:left="0" w:firstLine="0"/>
      <w:jc w:val="left"/>
    </w:pPr>
    <w:r>
      <w:rPr>
        <w:rFonts w:ascii="Calibri" w:eastAsia="Calibri" w:hAnsi="Calibri" w:cs="Calibri"/>
      </w:rPr>
      <w:tab/>
    </w:r>
    <w:r>
      <w:t>Kiinteistöstrategia</w:t>
    </w:r>
    <w:r>
      <w:tab/>
    </w:r>
    <w:r>
      <w:fldChar w:fldCharType="begin"/>
    </w:r>
    <w:r>
      <w:instrText xml:space="preserve"> PAGE   \* MERGEFORMAT </w:instrText>
    </w:r>
    <w:r>
      <w:fldChar w:fldCharType="separate"/>
    </w:r>
    <w:r>
      <w:t>2</w:t>
    </w:r>
    <w:r>
      <w:fldChar w:fldCharType="end"/>
    </w:r>
    <w:r>
      <w:t>/26</w:t>
    </w:r>
  </w:p>
  <w:p w:rsidR="00C81D05" w:rsidRDefault="00F517B1">
    <w:pPr>
      <w:spacing w:after="0" w:line="259" w:lineRule="auto"/>
      <w:ind w:left="944" w:firstLine="0"/>
      <w:jc w:val="center"/>
    </w:pPr>
    <w:r>
      <w:t>17.2.2010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F517B1">
    <w:pPr>
      <w:tabs>
        <w:tab w:val="center" w:pos="5408"/>
        <w:tab w:val="center" w:pos="8135"/>
      </w:tabs>
      <w:spacing w:after="731" w:line="259" w:lineRule="auto"/>
      <w:ind w:left="0" w:firstLine="0"/>
      <w:jc w:val="left"/>
    </w:pPr>
    <w:r>
      <w:rPr>
        <w:rFonts w:ascii="Calibri" w:eastAsia="Calibri" w:hAnsi="Calibri" w:cs="Calibri"/>
      </w:rPr>
      <w:tab/>
    </w:r>
    <w:r>
      <w:t>Kiinteistöstrategia</w:t>
    </w:r>
    <w:r>
      <w:tab/>
    </w:r>
    <w:r>
      <w:fldChar w:fldCharType="begin"/>
    </w:r>
    <w:r>
      <w:instrText xml:space="preserve"> PAGE   \* MERGEFORMAT </w:instrText>
    </w:r>
    <w:r>
      <w:fldChar w:fldCharType="separate"/>
    </w:r>
    <w:r>
      <w:rPr>
        <w:noProof/>
      </w:rPr>
      <w:t>2</w:t>
    </w:r>
    <w:r>
      <w:fldChar w:fldCharType="end"/>
    </w:r>
    <w:r>
      <w:t>/26</w:t>
    </w:r>
  </w:p>
  <w:p w:rsidR="00C81D05" w:rsidRDefault="00F517B1">
    <w:pPr>
      <w:spacing w:after="0" w:line="259" w:lineRule="auto"/>
      <w:ind w:left="944" w:firstLine="0"/>
      <w:jc w:val="center"/>
    </w:pPr>
    <w:r>
      <w:t>17.2.2010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C81D05">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F517B1">
    <w:pPr>
      <w:tabs>
        <w:tab w:val="center" w:pos="4655"/>
        <w:tab w:val="right" w:pos="9575"/>
      </w:tabs>
      <w:spacing w:after="0" w:line="259" w:lineRule="auto"/>
      <w:ind w:left="0" w:right="-1066" w:firstLine="0"/>
      <w:jc w:val="left"/>
    </w:pPr>
    <w:r>
      <w:rPr>
        <w:rFonts w:ascii="Calibri" w:eastAsia="Calibri" w:hAnsi="Calibri" w:cs="Calibri"/>
      </w:rPr>
      <w:tab/>
    </w:r>
    <w:r>
      <w:rPr>
        <w:rFonts w:ascii="Calibri" w:eastAsia="Calibri" w:hAnsi="Calibri" w:cs="Calibri"/>
        <w:sz w:val="15"/>
      </w:rPr>
      <w:t>Liite 2</w:t>
    </w:r>
    <w:r>
      <w:rPr>
        <w:rFonts w:ascii="Calibri" w:eastAsia="Calibri" w:hAnsi="Calibri" w:cs="Calibri"/>
        <w:sz w:val="15"/>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 3</w:t>
    </w:r>
  </w:p>
  <w:p w:rsidR="00C81D05" w:rsidRDefault="00F517B1">
    <w:pPr>
      <w:spacing w:after="0" w:line="259" w:lineRule="auto"/>
      <w:ind w:left="800" w:firstLine="0"/>
      <w:jc w:val="center"/>
    </w:pPr>
    <w:r>
      <w:rPr>
        <w:rFonts w:ascii="Calibri" w:eastAsia="Calibri" w:hAnsi="Calibri" w:cs="Calibri"/>
        <w:sz w:val="15"/>
      </w:rPr>
      <w:t>KN 17.2.2010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F517B1">
    <w:pPr>
      <w:tabs>
        <w:tab w:val="center" w:pos="4655"/>
        <w:tab w:val="right" w:pos="9575"/>
      </w:tabs>
      <w:spacing w:after="0" w:line="259" w:lineRule="auto"/>
      <w:ind w:left="0" w:right="-1066" w:firstLine="0"/>
      <w:jc w:val="left"/>
    </w:pPr>
    <w:r>
      <w:rPr>
        <w:rFonts w:ascii="Calibri" w:eastAsia="Calibri" w:hAnsi="Calibri" w:cs="Calibri"/>
      </w:rPr>
      <w:tab/>
    </w:r>
    <w:r>
      <w:rPr>
        <w:rFonts w:ascii="Calibri" w:eastAsia="Calibri" w:hAnsi="Calibri" w:cs="Calibri"/>
        <w:sz w:val="15"/>
      </w:rPr>
      <w:t>Liite 2</w:t>
    </w:r>
    <w:r>
      <w:rPr>
        <w:rFonts w:ascii="Calibri" w:eastAsia="Calibri" w:hAnsi="Calibri" w:cs="Calibri"/>
        <w:sz w:val="15"/>
      </w:rPr>
      <w:tab/>
    </w:r>
    <w:r>
      <w:fldChar w:fldCharType="begin"/>
    </w:r>
    <w:r>
      <w:instrText xml:space="preserve"> PAGE   \* MERGEFORMAT </w:instrText>
    </w:r>
    <w:r>
      <w:fldChar w:fldCharType="separate"/>
    </w:r>
    <w:r w:rsidRPr="00F517B1">
      <w:rPr>
        <w:rFonts w:ascii="Calibri" w:eastAsia="Calibri" w:hAnsi="Calibri" w:cs="Calibri"/>
        <w:noProof/>
        <w:sz w:val="16"/>
      </w:rPr>
      <w:t>2</w:t>
    </w:r>
    <w:r>
      <w:rPr>
        <w:rFonts w:ascii="Calibri" w:eastAsia="Calibri" w:hAnsi="Calibri" w:cs="Calibri"/>
        <w:sz w:val="16"/>
      </w:rPr>
      <w:fldChar w:fldCharType="end"/>
    </w:r>
    <w:r>
      <w:rPr>
        <w:rFonts w:ascii="Calibri" w:eastAsia="Calibri" w:hAnsi="Calibri" w:cs="Calibri"/>
        <w:sz w:val="16"/>
      </w:rPr>
      <w:t xml:space="preserve"> / 3</w:t>
    </w:r>
  </w:p>
  <w:p w:rsidR="00C81D05" w:rsidRDefault="00F517B1">
    <w:pPr>
      <w:spacing w:after="0" w:line="259" w:lineRule="auto"/>
      <w:ind w:left="800" w:firstLine="0"/>
      <w:jc w:val="center"/>
    </w:pPr>
    <w:r>
      <w:rPr>
        <w:rFonts w:ascii="Calibri" w:eastAsia="Calibri" w:hAnsi="Calibri" w:cs="Calibri"/>
        <w:sz w:val="15"/>
      </w:rPr>
      <w:t>KN 17.2.2010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05" w:rsidRDefault="00F517B1">
    <w:pPr>
      <w:tabs>
        <w:tab w:val="center" w:pos="4655"/>
        <w:tab w:val="right" w:pos="9575"/>
      </w:tabs>
      <w:spacing w:after="0" w:line="259" w:lineRule="auto"/>
      <w:ind w:left="0" w:right="-1066" w:firstLine="0"/>
      <w:jc w:val="left"/>
    </w:pPr>
    <w:r>
      <w:rPr>
        <w:rFonts w:ascii="Calibri" w:eastAsia="Calibri" w:hAnsi="Calibri" w:cs="Calibri"/>
      </w:rPr>
      <w:tab/>
    </w:r>
    <w:r>
      <w:rPr>
        <w:rFonts w:ascii="Calibri" w:eastAsia="Calibri" w:hAnsi="Calibri" w:cs="Calibri"/>
        <w:sz w:val="15"/>
      </w:rPr>
      <w:t>Liite 2</w:t>
    </w:r>
    <w:r>
      <w:rPr>
        <w:rFonts w:ascii="Calibri" w:eastAsia="Calibri" w:hAnsi="Calibri" w:cs="Calibri"/>
        <w:sz w:val="15"/>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 3</w:t>
    </w:r>
  </w:p>
  <w:p w:rsidR="00C81D05" w:rsidRDefault="00F517B1">
    <w:pPr>
      <w:spacing w:after="0" w:line="259" w:lineRule="auto"/>
      <w:ind w:left="800" w:firstLine="0"/>
      <w:jc w:val="center"/>
    </w:pPr>
    <w:r>
      <w:rPr>
        <w:rFonts w:ascii="Calibri" w:eastAsia="Calibri" w:hAnsi="Calibri" w:cs="Calibri"/>
        <w:sz w:val="15"/>
      </w:rPr>
      <w:t>KN 17.2.2010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344E7"/>
    <w:multiLevelType w:val="hybridMultilevel"/>
    <w:tmpl w:val="2B804CEC"/>
    <w:lvl w:ilvl="0" w:tplc="48903C7C">
      <w:start w:val="1"/>
      <w:numFmt w:val="decimal"/>
      <w:lvlText w:val="%1."/>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A6E528">
      <w:start w:val="1"/>
      <w:numFmt w:val="lowerLetter"/>
      <w:lvlText w:val="%2."/>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9CF30E">
      <w:start w:val="1"/>
      <w:numFmt w:val="lowerRoman"/>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70C3A2">
      <w:start w:val="1"/>
      <w:numFmt w:val="decimal"/>
      <w:lvlText w:val="%4"/>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E2742">
      <w:start w:val="1"/>
      <w:numFmt w:val="lowerLetter"/>
      <w:lvlText w:val="%5"/>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CE094">
      <w:start w:val="1"/>
      <w:numFmt w:val="lowerRoman"/>
      <w:lvlText w:val="%6"/>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AC690">
      <w:start w:val="1"/>
      <w:numFmt w:val="decimal"/>
      <w:lvlText w:val="%7"/>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C407C">
      <w:start w:val="1"/>
      <w:numFmt w:val="lowerLetter"/>
      <w:lvlText w:val="%8"/>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4687C">
      <w:start w:val="1"/>
      <w:numFmt w:val="lowerRoman"/>
      <w:lvlText w:val="%9"/>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F4D0598"/>
    <w:multiLevelType w:val="hybridMultilevel"/>
    <w:tmpl w:val="712E54FE"/>
    <w:lvl w:ilvl="0" w:tplc="EA4612B0">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85C08">
      <w:start w:val="1"/>
      <w:numFmt w:val="bullet"/>
      <w:lvlText w:val="o"/>
      <w:lvlJc w:val="left"/>
      <w:pPr>
        <w:ind w:left="2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0A3460">
      <w:start w:val="1"/>
      <w:numFmt w:val="bullet"/>
      <w:lvlText w:val="▪"/>
      <w:lvlJc w:val="left"/>
      <w:pPr>
        <w:ind w:left="2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4D052">
      <w:start w:val="1"/>
      <w:numFmt w:val="bullet"/>
      <w:lvlText w:val="•"/>
      <w:lvlJc w:val="left"/>
      <w:pPr>
        <w:ind w:left="3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8BABC">
      <w:start w:val="1"/>
      <w:numFmt w:val="bullet"/>
      <w:lvlText w:val="o"/>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1A6E9A">
      <w:start w:val="1"/>
      <w:numFmt w:val="bullet"/>
      <w:lvlText w:val="▪"/>
      <w:lvlJc w:val="left"/>
      <w:pPr>
        <w:ind w:left="4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ABEB4">
      <w:start w:val="1"/>
      <w:numFmt w:val="bullet"/>
      <w:lvlText w:val="•"/>
      <w:lvlJc w:val="left"/>
      <w:pPr>
        <w:ind w:left="5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0B37A">
      <w:start w:val="1"/>
      <w:numFmt w:val="bullet"/>
      <w:lvlText w:val="o"/>
      <w:lvlJc w:val="left"/>
      <w:pPr>
        <w:ind w:left="6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68156C">
      <w:start w:val="1"/>
      <w:numFmt w:val="bullet"/>
      <w:lvlText w:val="▪"/>
      <w:lvlJc w:val="left"/>
      <w:pPr>
        <w:ind w:left="7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1D17DA0"/>
    <w:multiLevelType w:val="hybridMultilevel"/>
    <w:tmpl w:val="82D0F838"/>
    <w:lvl w:ilvl="0" w:tplc="462C5C8C">
      <w:start w:val="1"/>
      <w:numFmt w:val="decimal"/>
      <w:lvlText w:val="%1."/>
      <w:lvlJc w:val="left"/>
      <w:pPr>
        <w:ind w:left="1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C6B1C">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4534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A8BA3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E5AF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6C9A1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A84E5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E2FD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E2E50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6B74DD7"/>
    <w:multiLevelType w:val="hybridMultilevel"/>
    <w:tmpl w:val="0A50187E"/>
    <w:lvl w:ilvl="0" w:tplc="12F8184A">
      <w:start w:val="3"/>
      <w:numFmt w:val="decimal"/>
      <w:lvlText w:val="%1"/>
      <w:lvlJc w:val="left"/>
      <w:pPr>
        <w:ind w:left="478"/>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1" w:tplc="50064D12">
      <w:start w:val="1"/>
      <w:numFmt w:val="lowerLetter"/>
      <w:lvlText w:val="%2"/>
      <w:lvlJc w:val="left"/>
      <w:pPr>
        <w:ind w:left="147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2" w:tplc="1696FEB6">
      <w:start w:val="1"/>
      <w:numFmt w:val="lowerRoman"/>
      <w:lvlText w:val="%3"/>
      <w:lvlJc w:val="left"/>
      <w:pPr>
        <w:ind w:left="219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3" w:tplc="348C2E96">
      <w:start w:val="1"/>
      <w:numFmt w:val="decimal"/>
      <w:lvlText w:val="%4"/>
      <w:lvlJc w:val="left"/>
      <w:pPr>
        <w:ind w:left="291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4" w:tplc="7F3C93CC">
      <w:start w:val="1"/>
      <w:numFmt w:val="lowerLetter"/>
      <w:lvlText w:val="%5"/>
      <w:lvlJc w:val="left"/>
      <w:pPr>
        <w:ind w:left="363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5" w:tplc="81F40CB0">
      <w:start w:val="1"/>
      <w:numFmt w:val="lowerRoman"/>
      <w:lvlText w:val="%6"/>
      <w:lvlJc w:val="left"/>
      <w:pPr>
        <w:ind w:left="435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6" w:tplc="20E2EECE">
      <w:start w:val="1"/>
      <w:numFmt w:val="decimal"/>
      <w:lvlText w:val="%7"/>
      <w:lvlJc w:val="left"/>
      <w:pPr>
        <w:ind w:left="507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7" w:tplc="F29E5AA0">
      <w:start w:val="1"/>
      <w:numFmt w:val="lowerLetter"/>
      <w:lvlText w:val="%8"/>
      <w:lvlJc w:val="left"/>
      <w:pPr>
        <w:ind w:left="579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8" w:tplc="128246A6">
      <w:start w:val="1"/>
      <w:numFmt w:val="lowerRoman"/>
      <w:lvlText w:val="%9"/>
      <w:lvlJc w:val="left"/>
      <w:pPr>
        <w:ind w:left="6516"/>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abstractNum>
  <w:abstractNum w:abstractNumId="4">
    <w:nsid w:val="4E7D6512"/>
    <w:multiLevelType w:val="hybridMultilevel"/>
    <w:tmpl w:val="73D2D10C"/>
    <w:lvl w:ilvl="0" w:tplc="42C84E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8925A">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1004E2">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9C73A4">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9C5E4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DC0DA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2AA12">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460D4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3CEDEA">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5FBC063A"/>
    <w:multiLevelType w:val="hybridMultilevel"/>
    <w:tmpl w:val="014E7FCA"/>
    <w:lvl w:ilvl="0" w:tplc="FF9A4288">
      <w:start w:val="1"/>
      <w:numFmt w:val="decimal"/>
      <w:lvlText w:val="%1"/>
      <w:lvlJc w:val="left"/>
      <w:pPr>
        <w:ind w:left="181"/>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1" w:tplc="B8C4E17C">
      <w:start w:val="1"/>
      <w:numFmt w:val="lowerLetter"/>
      <w:lvlText w:val="%2"/>
      <w:lvlJc w:val="left"/>
      <w:pPr>
        <w:ind w:left="132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2" w:tplc="F176C5C4">
      <w:start w:val="1"/>
      <w:numFmt w:val="lowerRoman"/>
      <w:lvlText w:val="%3"/>
      <w:lvlJc w:val="left"/>
      <w:pPr>
        <w:ind w:left="204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3" w:tplc="9E127FFA">
      <w:start w:val="1"/>
      <w:numFmt w:val="decimal"/>
      <w:lvlText w:val="%4"/>
      <w:lvlJc w:val="left"/>
      <w:pPr>
        <w:ind w:left="276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4" w:tplc="2F6A5FB8">
      <w:start w:val="1"/>
      <w:numFmt w:val="lowerLetter"/>
      <w:lvlText w:val="%5"/>
      <w:lvlJc w:val="left"/>
      <w:pPr>
        <w:ind w:left="348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5" w:tplc="79F646E8">
      <w:start w:val="1"/>
      <w:numFmt w:val="lowerRoman"/>
      <w:lvlText w:val="%6"/>
      <w:lvlJc w:val="left"/>
      <w:pPr>
        <w:ind w:left="420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6" w:tplc="A9443530">
      <w:start w:val="1"/>
      <w:numFmt w:val="decimal"/>
      <w:lvlText w:val="%7"/>
      <w:lvlJc w:val="left"/>
      <w:pPr>
        <w:ind w:left="492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7" w:tplc="C378634E">
      <w:start w:val="1"/>
      <w:numFmt w:val="lowerLetter"/>
      <w:lvlText w:val="%8"/>
      <w:lvlJc w:val="left"/>
      <w:pPr>
        <w:ind w:left="564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lvl w:ilvl="8" w:tplc="42984D22">
      <w:start w:val="1"/>
      <w:numFmt w:val="lowerRoman"/>
      <w:lvlText w:val="%9"/>
      <w:lvlJc w:val="left"/>
      <w:pPr>
        <w:ind w:left="6363"/>
      </w:pPr>
      <w:rPr>
        <w:rFonts w:ascii="Arial" w:eastAsia="Arial" w:hAnsi="Arial" w:cs="Arial"/>
        <w:b/>
        <w:bCs/>
        <w:i w:val="0"/>
        <w:strike w:val="0"/>
        <w:dstrike w:val="0"/>
        <w:color w:val="000000"/>
        <w:sz w:val="12"/>
        <w:szCs w:val="12"/>
        <w:u w:val="none" w:color="000000"/>
        <w:bdr w:val="none" w:sz="0" w:space="0" w:color="auto"/>
        <w:shd w:val="clear" w:color="auto" w:fill="auto"/>
        <w:vertAlign w:val="baseline"/>
      </w:rPr>
    </w:lvl>
  </w:abstractNum>
  <w:abstractNum w:abstractNumId="6">
    <w:nsid w:val="6C4C6CED"/>
    <w:multiLevelType w:val="hybridMultilevel"/>
    <w:tmpl w:val="31585876"/>
    <w:lvl w:ilvl="0" w:tplc="0AACD5E6">
      <w:start w:val="1"/>
      <w:numFmt w:val="decimal"/>
      <w:lvlText w:val="%1."/>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D63890">
      <w:start w:val="1"/>
      <w:numFmt w:val="lowerLetter"/>
      <w:lvlText w:val="%2"/>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DA7A8A">
      <w:start w:val="1"/>
      <w:numFmt w:val="lowerRoman"/>
      <w:lvlText w:val="%3"/>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251CC">
      <w:start w:val="1"/>
      <w:numFmt w:val="decimal"/>
      <w:lvlText w:val="%4"/>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4553C">
      <w:start w:val="1"/>
      <w:numFmt w:val="lowerLetter"/>
      <w:lvlText w:val="%5"/>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43014">
      <w:start w:val="1"/>
      <w:numFmt w:val="lowerRoman"/>
      <w:lvlText w:val="%6"/>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6239A">
      <w:start w:val="1"/>
      <w:numFmt w:val="decimal"/>
      <w:lvlText w:val="%7"/>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E507C">
      <w:start w:val="1"/>
      <w:numFmt w:val="lowerLetter"/>
      <w:lvlText w:val="%8"/>
      <w:lvlJc w:val="left"/>
      <w:pPr>
        <w:ind w:left="7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980BCA">
      <w:start w:val="1"/>
      <w:numFmt w:val="lowerRoman"/>
      <w:lvlText w:val="%9"/>
      <w:lvlJc w:val="left"/>
      <w:pPr>
        <w:ind w:left="8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70803A48"/>
    <w:multiLevelType w:val="multilevel"/>
    <w:tmpl w:val="5DF6039A"/>
    <w:lvl w:ilvl="0">
      <w:start w:val="1"/>
      <w:numFmt w:val="decimal"/>
      <w:pStyle w:val="Otsikk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Otsikko2"/>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05"/>
    <w:rsid w:val="00BC2501"/>
    <w:rsid w:val="00C81D05"/>
    <w:rsid w:val="00F517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485D2-3DDE-4E52-A0F6-776B44CE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04" w:line="352" w:lineRule="auto"/>
      <w:ind w:left="231" w:hanging="10"/>
      <w:jc w:val="both"/>
    </w:pPr>
    <w:rPr>
      <w:rFonts w:ascii="Arial" w:eastAsia="Arial" w:hAnsi="Arial" w:cs="Arial"/>
      <w:color w:val="000000"/>
    </w:rPr>
  </w:style>
  <w:style w:type="paragraph" w:styleId="Otsikko1">
    <w:name w:val="heading 1"/>
    <w:next w:val="Normaali"/>
    <w:link w:val="Otsikko1Char"/>
    <w:uiPriority w:val="9"/>
    <w:unhideWhenUsed/>
    <w:qFormat/>
    <w:pPr>
      <w:keepNext/>
      <w:keepLines/>
      <w:numPr>
        <w:numId w:val="8"/>
      </w:numPr>
      <w:spacing w:after="459" w:line="265" w:lineRule="auto"/>
      <w:ind w:left="10" w:hanging="10"/>
      <w:outlineLvl w:val="0"/>
    </w:pPr>
    <w:rPr>
      <w:rFonts w:ascii="Arial" w:eastAsia="Arial" w:hAnsi="Arial" w:cs="Arial"/>
      <w:b/>
      <w:color w:val="000000"/>
      <w:sz w:val="24"/>
    </w:rPr>
  </w:style>
  <w:style w:type="paragraph" w:styleId="Otsikko2">
    <w:name w:val="heading 2"/>
    <w:next w:val="Normaali"/>
    <w:link w:val="Otsikko2Char"/>
    <w:uiPriority w:val="9"/>
    <w:unhideWhenUsed/>
    <w:qFormat/>
    <w:pPr>
      <w:keepNext/>
      <w:keepLines/>
      <w:numPr>
        <w:ilvl w:val="1"/>
        <w:numId w:val="8"/>
      </w:numPr>
      <w:spacing w:after="104" w:line="352" w:lineRule="auto"/>
      <w:ind w:left="231" w:hanging="10"/>
      <w:jc w:val="both"/>
      <w:outlineLvl w:val="1"/>
    </w:pPr>
    <w:rPr>
      <w:rFonts w:ascii="Arial" w:eastAsia="Arial" w:hAnsi="Arial" w:cs="Arial"/>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rPr>
  </w:style>
  <w:style w:type="character" w:customStyle="1" w:styleId="Otsikko2Char">
    <w:name w:val="Otsikko 2 Char"/>
    <w:link w:val="Otsikko2"/>
    <w:rPr>
      <w:rFonts w:ascii="Arial" w:eastAsia="Arial" w:hAnsi="Arial" w:cs="Arial"/>
      <w:color w:val="000000"/>
      <w:sz w:val="22"/>
    </w:rPr>
  </w:style>
  <w:style w:type="paragraph" w:styleId="Sisluet1">
    <w:name w:val="toc 1"/>
    <w:hidden/>
    <w:pPr>
      <w:spacing w:after="104"/>
      <w:ind w:left="246" w:right="45" w:hanging="10"/>
      <w:jc w:val="both"/>
    </w:pPr>
    <w:rPr>
      <w:rFonts w:ascii="Arial" w:eastAsia="Arial" w:hAnsi="Arial" w:cs="Arial"/>
      <w:color w:val="000000"/>
    </w:rPr>
  </w:style>
  <w:style w:type="paragraph" w:styleId="Sisluet2">
    <w:name w:val="toc 2"/>
    <w:hidden/>
    <w:pPr>
      <w:spacing w:after="104"/>
      <w:ind w:left="246" w:right="45"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5.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4567</Words>
  <Characters>36999</Characters>
  <Application>Microsoft Office Word</Application>
  <DocSecurity>0</DocSecurity>
  <Lines>308</Lines>
  <Paragraphs>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Hiljansuo Kata</dc:creator>
  <cp:keywords/>
  <cp:lastModifiedBy>Hiljansuo Kata</cp:lastModifiedBy>
  <cp:revision>2</cp:revision>
  <dcterms:created xsi:type="dcterms:W3CDTF">2015-04-15T07:05:00Z</dcterms:created>
  <dcterms:modified xsi:type="dcterms:W3CDTF">2015-04-15T07:05:00Z</dcterms:modified>
</cp:coreProperties>
</file>